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A4F21" w14:textId="70513F6B" w:rsidR="00761551" w:rsidRDefault="003E5E9E">
      <w:r>
        <w:rPr>
          <w:noProof/>
        </w:rPr>
        <w:drawing>
          <wp:inline distT="0" distB="0" distL="0" distR="0" wp14:anchorId="7467B96D" wp14:editId="359A15A1">
            <wp:extent cx="6447417" cy="3891915"/>
            <wp:effectExtent l="0" t="0" r="0" b="0"/>
            <wp:docPr id="1490874187"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4187" name="Imagen 1" descr="Escala de tiempo&#10;&#10;Descripción generada automáticamente"/>
                    <pic:cNvPicPr/>
                  </pic:nvPicPr>
                  <pic:blipFill rotWithShape="1">
                    <a:blip r:embed="rId8">
                      <a:extLst>
                        <a:ext uri="{28A0092B-C50C-407E-A947-70E740481C1C}">
                          <a14:useLocalDpi xmlns:a14="http://schemas.microsoft.com/office/drawing/2010/main" val="0"/>
                        </a:ext>
                      </a:extLst>
                    </a:blip>
                    <a:srcRect l="4009" r="9842" b="7550"/>
                    <a:stretch/>
                  </pic:blipFill>
                  <pic:spPr bwMode="auto">
                    <a:xfrm>
                      <a:off x="0" y="0"/>
                      <a:ext cx="6459754" cy="3899362"/>
                    </a:xfrm>
                    <a:prstGeom prst="rect">
                      <a:avLst/>
                    </a:prstGeom>
                    <a:ln>
                      <a:noFill/>
                    </a:ln>
                    <a:extLst>
                      <a:ext uri="{53640926-AAD7-44D8-BBD7-CCE9431645EC}">
                        <a14:shadowObscured xmlns:a14="http://schemas.microsoft.com/office/drawing/2010/main"/>
                      </a:ext>
                    </a:extLst>
                  </pic:spPr>
                </pic:pic>
              </a:graphicData>
            </a:graphic>
          </wp:inline>
        </w:drawing>
      </w:r>
      <w:r w:rsidR="00000000">
        <w:rPr>
          <w:noProof/>
        </w:rPr>
        <mc:AlternateContent>
          <mc:Choice Requires="wps">
            <w:drawing>
              <wp:anchor distT="0" distB="0" distL="114300" distR="114300" simplePos="0" relativeHeight="251658240" behindDoc="0" locked="0" layoutInCell="1" hidden="0" allowOverlap="1" wp14:anchorId="1A619876" wp14:editId="5E86E981">
                <wp:simplePos x="0" y="0"/>
                <wp:positionH relativeFrom="page">
                  <wp:posOffset>460057</wp:posOffset>
                </wp:positionH>
                <wp:positionV relativeFrom="margin">
                  <wp:align>top</wp:align>
                </wp:positionV>
                <wp:extent cx="6419215" cy="858439"/>
                <wp:effectExtent l="0" t="0" r="0" b="0"/>
                <wp:wrapSquare wrapText="bothSides" distT="0" distB="0" distL="114300" distR="114300"/>
                <wp:docPr id="2054350962" name="Rectángulo 2054350962"/>
                <wp:cNvGraphicFramePr/>
                <a:graphic xmlns:a="http://schemas.openxmlformats.org/drawingml/2006/main">
                  <a:graphicData uri="http://schemas.microsoft.com/office/word/2010/wordprocessingShape">
                    <wps:wsp>
                      <wps:cNvSpPr/>
                      <wps:spPr>
                        <a:xfrm>
                          <a:off x="2150680" y="3360900"/>
                          <a:ext cx="6390640" cy="838200"/>
                        </a:xfrm>
                        <a:prstGeom prst="rect">
                          <a:avLst/>
                        </a:prstGeom>
                        <a:noFill/>
                        <a:ln>
                          <a:noFill/>
                        </a:ln>
                      </wps:spPr>
                      <wps:txbx>
                        <w:txbxContent>
                          <w:p w14:paraId="48069500" w14:textId="77777777" w:rsidR="00761551" w:rsidRDefault="00000000">
                            <w:pPr>
                              <w:spacing w:line="258" w:lineRule="auto"/>
                              <w:jc w:val="right"/>
                              <w:textDirection w:val="btLr"/>
                            </w:pPr>
                            <w:r>
                              <w:rPr>
                                <w:smallCaps/>
                                <w:color w:val="017161"/>
                                <w:sz w:val="26"/>
                              </w:rPr>
                              <w:t>INFORME TÉCNICO: Semáforo de ECONOMÍAS REGIONALES</w:t>
                            </w:r>
                          </w:p>
                          <w:p w14:paraId="3F8F00C2" w14:textId="0623C27D" w:rsidR="00761551" w:rsidRDefault="003E5E9E">
                            <w:pPr>
                              <w:spacing w:line="258" w:lineRule="auto"/>
                              <w:jc w:val="right"/>
                              <w:textDirection w:val="btLr"/>
                            </w:pPr>
                            <w:r>
                              <w:rPr>
                                <w:b/>
                                <w:color w:val="404040"/>
                                <w:sz w:val="16"/>
                              </w:rPr>
                              <w:t>Abril</w:t>
                            </w:r>
                            <w:r w:rsidR="00000000">
                              <w:rPr>
                                <w:b/>
                                <w:color w:val="404040"/>
                                <w:sz w:val="16"/>
                              </w:rPr>
                              <w:t xml:space="preserve"> de 2024 -Área de Economía de CONINAGRO</w:t>
                            </w:r>
                          </w:p>
                          <w:p w14:paraId="6C1CF18F" w14:textId="77777777" w:rsidR="00761551" w:rsidRDefault="00000000">
                            <w:pPr>
                              <w:spacing w:line="258" w:lineRule="auto"/>
                              <w:jc w:val="right"/>
                              <w:textDirection w:val="btLr"/>
                            </w:pPr>
                            <w:r>
                              <w:rPr>
                                <w:b/>
                                <w:color w:val="404040"/>
                                <w:sz w:val="16"/>
                              </w:rPr>
                              <w:t xml:space="preserve">Lic. Silvina Campos Carlés - Enzo Santilli </w:t>
                            </w:r>
                          </w:p>
                        </w:txbxContent>
                      </wps:txbx>
                      <wps:bodyPr spcFirstLastPara="1" wrap="square" lIns="1600200" tIns="0" rIns="685800" bIns="0" anchor="b" anchorCtr="0">
                        <a:noAutofit/>
                      </wps:bodyPr>
                    </wps:wsp>
                  </a:graphicData>
                </a:graphic>
              </wp:anchor>
            </w:drawing>
          </mc:Choice>
          <mc:Fallback>
            <w:pict>
              <v:rect w14:anchorId="1A619876" id="Rectángulo 2054350962" o:spid="_x0000_s1026" style="position:absolute;margin-left:36.2pt;margin-top:0;width:505.45pt;height:67.6pt;z-index:251658240;visibility:visible;mso-wrap-style:square;mso-wrap-distance-left:9pt;mso-wrap-distance-top:0;mso-wrap-distance-right:9pt;mso-wrap-distance-bottom:0;mso-position-horizontal:absolute;mso-position-horizontal-relative:page;mso-position-vertical:top;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6QugEAAFUDAAAOAAAAZHJzL2Uyb0RvYy54bWysU8tu2zAQvBfIPxC8x6LsRlAEy0HRwEWB&#10;IDWQ9gMoirQISCS7pC3577OklLiPW9ELtVwuZmdmV9uHaejJWYLX1tQ0XzFKpBG21eZY0x/f97cl&#10;JT5w0/LeGlnTi/T0YXfzYTu6Sq5tZ/tWAkEQ46vR1bQLwVVZ5kUnB+5X1kmDj8rCwANe4Zi1wEdE&#10;H/pszViRjRZaB1ZI7zH7OD/SXcJXSorwTSkvA+lritxCOiGdTTyz3ZZXR+Cu02Khwf+BxcC1wabv&#10;UI88cHIC/RfUoAVYb1VYCTtkViktZNKAanL2h5qXjjuZtKA53r3b5P8frHg+v7gDoA2j85XHMKqY&#10;FAzxi/zIVNN1fseKEu271HSzKdg9W4yTUyACC4rNPSs+YoHAinJT4mSis9kVyYEPX6QdSAxqCjiY&#10;5Bc/P/kwl76VxMbG7nXfp+H05rcEYsZMdqUbozA106Khse3lAMQ7sdfY64n7cOCAQ80pGXHQNfU/&#10;TxwkJf1Xg07mBWORLwnpigGkoCjvyphu3tLciM7i6jSUzOHnkBZppvfpFKzSSUokNLNYeOLskhnL&#10;nsXl+PWeqq5/w+4VAAD//wMAUEsDBBQABgAIAAAAIQAT4iCl3gAAAAgBAAAPAAAAZHJzL2Rvd25y&#10;ZXYueG1sTI/BTsMwEETvSPyDtUjcqENCoQ1xKlREb0gQiri68ZJEtddR7DahX8/2BLcdzWj2TbGa&#10;nBVHHELnScHtLAGBVHvTUaNg+/FyswARoiajrSdU8IMBVuXlRaFz40d6x2MVG8ElFHKtoI2xz6UM&#10;dYtOh5nvkdj79oPTkeXQSDPokcudlWmS3EunO+IPre5x3WK9rw5OQbBf1el5OV/bzfLVjJ/Vvn/T&#10;W6Wur6anRxARp/gXhjM+o0PJTDt/IBOEVfCQ3nFSAQ86u8kiy0Ds+MrmKciykP8HlL8AAAD//wMA&#10;UEsBAi0AFAAGAAgAAAAhALaDOJL+AAAA4QEAABMAAAAAAAAAAAAAAAAAAAAAAFtDb250ZW50X1R5&#10;cGVzXS54bWxQSwECLQAUAAYACAAAACEAOP0h/9YAAACUAQAACwAAAAAAAAAAAAAAAAAvAQAAX3Jl&#10;bHMvLnJlbHNQSwECLQAUAAYACAAAACEAFHXekLoBAABVAwAADgAAAAAAAAAAAAAAAAAuAgAAZHJz&#10;L2Uyb0RvYy54bWxQSwECLQAUAAYACAAAACEAE+Igpd4AAAAIAQAADwAAAAAAAAAAAAAAAAAUBAAA&#10;ZHJzL2Rvd25yZXYueG1sUEsFBgAAAAAEAAQA8wAAAB8FAAAAAA==&#10;" filled="f" stroked="f">
                <v:textbox inset="126pt,0,54pt,0">
                  <w:txbxContent>
                    <w:p w14:paraId="48069500" w14:textId="77777777" w:rsidR="00761551" w:rsidRDefault="00000000">
                      <w:pPr>
                        <w:spacing w:line="258" w:lineRule="auto"/>
                        <w:jc w:val="right"/>
                        <w:textDirection w:val="btLr"/>
                      </w:pPr>
                      <w:r>
                        <w:rPr>
                          <w:smallCaps/>
                          <w:color w:val="017161"/>
                          <w:sz w:val="26"/>
                        </w:rPr>
                        <w:t>INFORME TÉCNICO: Semáforo de ECONOMÍAS REGIONALES</w:t>
                      </w:r>
                    </w:p>
                    <w:p w14:paraId="3F8F00C2" w14:textId="0623C27D" w:rsidR="00761551" w:rsidRDefault="003E5E9E">
                      <w:pPr>
                        <w:spacing w:line="258" w:lineRule="auto"/>
                        <w:jc w:val="right"/>
                        <w:textDirection w:val="btLr"/>
                      </w:pPr>
                      <w:r>
                        <w:rPr>
                          <w:b/>
                          <w:color w:val="404040"/>
                          <w:sz w:val="16"/>
                        </w:rPr>
                        <w:t>Abril</w:t>
                      </w:r>
                      <w:r w:rsidR="00000000">
                        <w:rPr>
                          <w:b/>
                          <w:color w:val="404040"/>
                          <w:sz w:val="16"/>
                        </w:rPr>
                        <w:t xml:space="preserve"> de 2024 -Área de Economía de CONINAGRO</w:t>
                      </w:r>
                    </w:p>
                    <w:p w14:paraId="6C1CF18F" w14:textId="77777777" w:rsidR="00761551" w:rsidRDefault="00000000">
                      <w:pPr>
                        <w:spacing w:line="258" w:lineRule="auto"/>
                        <w:jc w:val="right"/>
                        <w:textDirection w:val="btLr"/>
                      </w:pPr>
                      <w:r>
                        <w:rPr>
                          <w:b/>
                          <w:color w:val="404040"/>
                          <w:sz w:val="16"/>
                        </w:rPr>
                        <w:t xml:space="preserve">Lic. Silvina Campos Carlés - Enzo Santilli </w:t>
                      </w:r>
                    </w:p>
                  </w:txbxContent>
                </v:textbox>
                <w10:wrap type="square" anchorx="page" anchory="margin"/>
              </v:rect>
            </w:pict>
          </mc:Fallback>
        </mc:AlternateContent>
      </w:r>
    </w:p>
    <w:p w14:paraId="125BD814" w14:textId="77777777" w:rsidR="00761551" w:rsidRDefault="00000000">
      <w:pPr>
        <w:spacing w:line="258" w:lineRule="auto"/>
        <w:rPr>
          <w:b/>
          <w:smallCaps/>
          <w:color w:val="017161"/>
          <w:sz w:val="28"/>
          <w:szCs w:val="28"/>
        </w:rPr>
      </w:pPr>
      <w:r>
        <w:rPr>
          <w:b/>
          <w:smallCaps/>
          <w:color w:val="017161"/>
          <w:sz w:val="28"/>
          <w:szCs w:val="28"/>
        </w:rPr>
        <w:t xml:space="preserve">Destacados: </w:t>
      </w:r>
    </w:p>
    <w:p w14:paraId="687D3AA0" w14:textId="5C5AA7EF" w:rsidR="00761551" w:rsidRDefault="00000000">
      <w:pPr>
        <w:numPr>
          <w:ilvl w:val="0"/>
          <w:numId w:val="1"/>
        </w:numPr>
        <w:pBdr>
          <w:top w:val="nil"/>
          <w:left w:val="nil"/>
          <w:bottom w:val="nil"/>
          <w:right w:val="nil"/>
          <w:between w:val="nil"/>
        </w:pBdr>
        <w:spacing w:after="0"/>
        <w:jc w:val="both"/>
      </w:pPr>
      <w:r>
        <w:rPr>
          <w:color w:val="000000"/>
        </w:rPr>
        <w:t xml:space="preserve">El semáforo del mes de </w:t>
      </w:r>
      <w:r w:rsidR="003E5E9E">
        <w:rPr>
          <w:color w:val="000000"/>
        </w:rPr>
        <w:t>abril</w:t>
      </w:r>
      <w:r>
        <w:rPr>
          <w:color w:val="000000"/>
        </w:rPr>
        <w:t xml:space="preserve"> muestra:</w:t>
      </w:r>
      <w:r>
        <w:rPr>
          <w:b/>
          <w:color w:val="000000"/>
        </w:rPr>
        <w:t xml:space="preserve"> </w:t>
      </w:r>
      <w:r w:rsidR="003E5E9E">
        <w:rPr>
          <w:b/>
        </w:rPr>
        <w:t>5</w:t>
      </w:r>
      <w:r>
        <w:rPr>
          <w:b/>
          <w:color w:val="000000"/>
        </w:rPr>
        <w:t xml:space="preserve"> verdes, </w:t>
      </w:r>
      <w:r w:rsidR="003E5E9E">
        <w:rPr>
          <w:b/>
          <w:color w:val="000000"/>
        </w:rPr>
        <w:t>1</w:t>
      </w:r>
      <w:r>
        <w:rPr>
          <w:b/>
          <w:color w:val="000000"/>
        </w:rPr>
        <w:t xml:space="preserve"> amarillo y </w:t>
      </w:r>
      <w:r w:rsidR="003E5E9E">
        <w:rPr>
          <w:b/>
          <w:color w:val="000000"/>
        </w:rPr>
        <w:t>13</w:t>
      </w:r>
      <w:r>
        <w:rPr>
          <w:b/>
          <w:color w:val="000000"/>
        </w:rPr>
        <w:t xml:space="preserve"> rojos,</w:t>
      </w:r>
      <w:r>
        <w:rPr>
          <w:color w:val="000000"/>
        </w:rPr>
        <w:t xml:space="preserve"> </w:t>
      </w:r>
      <w:r w:rsidR="003E5E9E">
        <w:rPr>
          <w:color w:val="000000"/>
        </w:rPr>
        <w:t>empeorando la situación respecto de los meses anteriores</w:t>
      </w:r>
      <w:r>
        <w:rPr>
          <w:color w:val="000000"/>
        </w:rPr>
        <w:t xml:space="preserve">. </w:t>
      </w:r>
    </w:p>
    <w:p w14:paraId="42EB4D9F" w14:textId="19C96F85" w:rsidR="003E5E9E" w:rsidRDefault="003E5E9E">
      <w:pPr>
        <w:numPr>
          <w:ilvl w:val="0"/>
          <w:numId w:val="1"/>
        </w:numPr>
        <w:pBdr>
          <w:top w:val="nil"/>
          <w:left w:val="nil"/>
          <w:bottom w:val="nil"/>
          <w:right w:val="nil"/>
          <w:between w:val="nil"/>
        </w:pBdr>
        <w:spacing w:after="0"/>
        <w:jc w:val="both"/>
      </w:pPr>
      <w:r>
        <w:t>Los colores verdes se explican por alguna demanda activa, o exportaciones o mercado interno</w:t>
      </w:r>
    </w:p>
    <w:p w14:paraId="15F576B0" w14:textId="2D6AC411" w:rsidR="003E5E9E" w:rsidRDefault="003E5E9E">
      <w:pPr>
        <w:numPr>
          <w:ilvl w:val="0"/>
          <w:numId w:val="1"/>
        </w:numPr>
        <w:pBdr>
          <w:top w:val="nil"/>
          <w:left w:val="nil"/>
          <w:bottom w:val="nil"/>
          <w:right w:val="nil"/>
          <w:between w:val="nil"/>
        </w:pBdr>
        <w:spacing w:after="0"/>
        <w:jc w:val="both"/>
      </w:pPr>
      <w:r>
        <w:t>El amarillo tiene alta volatilidad de precios (sube y bajan abruptamente)</w:t>
      </w:r>
    </w:p>
    <w:p w14:paraId="6B7A74DD" w14:textId="66DF5B3F" w:rsidR="003E5E9E" w:rsidRDefault="003E5E9E">
      <w:pPr>
        <w:numPr>
          <w:ilvl w:val="0"/>
          <w:numId w:val="1"/>
        </w:numPr>
        <w:pBdr>
          <w:top w:val="nil"/>
          <w:left w:val="nil"/>
          <w:bottom w:val="nil"/>
          <w:right w:val="nil"/>
          <w:between w:val="nil"/>
        </w:pBdr>
        <w:spacing w:after="0"/>
        <w:jc w:val="both"/>
      </w:pPr>
      <w:r>
        <w:t>Y los rojos combinan alguna de estas situaciones:</w:t>
      </w:r>
    </w:p>
    <w:p w14:paraId="3553513C" w14:textId="35812976" w:rsidR="003E5E9E" w:rsidRDefault="003E5E9E" w:rsidP="003E5E9E">
      <w:pPr>
        <w:numPr>
          <w:ilvl w:val="1"/>
          <w:numId w:val="1"/>
        </w:numPr>
        <w:pBdr>
          <w:top w:val="nil"/>
          <w:left w:val="nil"/>
          <w:bottom w:val="nil"/>
          <w:right w:val="nil"/>
          <w:between w:val="nil"/>
        </w:pBdr>
        <w:spacing w:after="0"/>
        <w:jc w:val="both"/>
      </w:pPr>
      <w:r>
        <w:t>Baja demanda</w:t>
      </w:r>
    </w:p>
    <w:p w14:paraId="6FF5A341" w14:textId="59385AFB" w:rsidR="003E5E9E" w:rsidRDefault="003E5E9E" w:rsidP="003E5E9E">
      <w:pPr>
        <w:numPr>
          <w:ilvl w:val="1"/>
          <w:numId w:val="1"/>
        </w:numPr>
        <w:pBdr>
          <w:top w:val="nil"/>
          <w:left w:val="nil"/>
          <w:bottom w:val="nil"/>
          <w:right w:val="nil"/>
          <w:between w:val="nil"/>
        </w:pBdr>
        <w:spacing w:after="0"/>
        <w:jc w:val="both"/>
      </w:pPr>
      <w:r>
        <w:t>Precios al productor (muy) por debajo de la inflación</w:t>
      </w:r>
    </w:p>
    <w:p w14:paraId="42CAF4D7" w14:textId="13B55722" w:rsidR="00FF7F55" w:rsidRDefault="00FF7F55" w:rsidP="003E5E9E">
      <w:pPr>
        <w:numPr>
          <w:ilvl w:val="1"/>
          <w:numId w:val="1"/>
        </w:numPr>
        <w:pBdr>
          <w:top w:val="nil"/>
          <w:left w:val="nil"/>
          <w:bottom w:val="nil"/>
          <w:right w:val="nil"/>
          <w:between w:val="nil"/>
        </w:pBdr>
        <w:spacing w:after="0"/>
        <w:jc w:val="both"/>
      </w:pPr>
      <w:r>
        <w:t>Costos elevados para el esquema productivo</w:t>
      </w:r>
    </w:p>
    <w:p w14:paraId="52B56BBD" w14:textId="17B8AB44" w:rsidR="00FF7F55" w:rsidRDefault="00FF7F55" w:rsidP="003E5E9E">
      <w:pPr>
        <w:numPr>
          <w:ilvl w:val="1"/>
          <w:numId w:val="1"/>
        </w:numPr>
        <w:pBdr>
          <w:top w:val="nil"/>
          <w:left w:val="nil"/>
          <w:bottom w:val="nil"/>
          <w:right w:val="nil"/>
          <w:between w:val="nil"/>
        </w:pBdr>
        <w:spacing w:after="0"/>
        <w:jc w:val="both"/>
      </w:pPr>
      <w:r>
        <w:t>Menor producción a la esperada</w:t>
      </w:r>
    </w:p>
    <w:p w14:paraId="64AD7A3E" w14:textId="07AF6F66" w:rsidR="00FF7F55" w:rsidRDefault="00FF7F55" w:rsidP="00FF7F55">
      <w:pPr>
        <w:numPr>
          <w:ilvl w:val="0"/>
          <w:numId w:val="1"/>
        </w:numPr>
        <w:pBdr>
          <w:top w:val="nil"/>
          <w:left w:val="nil"/>
          <w:bottom w:val="nil"/>
          <w:right w:val="nil"/>
          <w:between w:val="nil"/>
        </w:pBdr>
        <w:jc w:val="both"/>
      </w:pPr>
      <w:r>
        <w:rPr>
          <w:color w:val="000000"/>
        </w:rPr>
        <w:t>La tendencia hacia adelante es similar a este mes</w:t>
      </w:r>
    </w:p>
    <w:p w14:paraId="6D2E75A0" w14:textId="77777777" w:rsidR="00FF7F55" w:rsidRDefault="00FF7F55">
      <w:pPr>
        <w:rPr>
          <w:b/>
          <w:smallCaps/>
          <w:color w:val="017161"/>
          <w:sz w:val="28"/>
          <w:szCs w:val="28"/>
        </w:rPr>
      </w:pPr>
      <w:r>
        <w:rPr>
          <w:b/>
          <w:smallCaps/>
          <w:color w:val="017161"/>
          <w:sz w:val="28"/>
          <w:szCs w:val="28"/>
        </w:rPr>
        <w:br w:type="page"/>
      </w:r>
    </w:p>
    <w:p w14:paraId="41429DD3" w14:textId="77777777" w:rsidR="00FF7F55" w:rsidRDefault="00000000">
      <w:pPr>
        <w:spacing w:line="258" w:lineRule="auto"/>
        <w:rPr>
          <w:b/>
          <w:smallCaps/>
          <w:color w:val="017161"/>
          <w:sz w:val="28"/>
          <w:szCs w:val="28"/>
        </w:rPr>
      </w:pPr>
      <w:r>
        <w:rPr>
          <w:b/>
          <w:smallCaps/>
          <w:color w:val="017161"/>
          <w:sz w:val="28"/>
          <w:szCs w:val="28"/>
        </w:rPr>
        <w:lastRenderedPageBreak/>
        <w:t>Los Números detrás del Color</w:t>
      </w:r>
    </w:p>
    <w:p w14:paraId="2091CB50" w14:textId="21FB7EAE" w:rsidR="00FF7F55" w:rsidRDefault="00FF7F55" w:rsidP="00FF7F55">
      <w:pPr>
        <w:spacing w:after="0" w:line="240" w:lineRule="auto"/>
        <w:jc w:val="both"/>
        <w:rPr>
          <w:lang w:val="es-MX"/>
        </w:rPr>
      </w:pPr>
      <w:r w:rsidRPr="00FF7F55">
        <w:rPr>
          <w:lang w:val="es-MX"/>
        </w:rPr>
        <w:t xml:space="preserve">El semáforo es </w:t>
      </w:r>
      <w:r w:rsidR="00DE70AF">
        <w:rPr>
          <w:lang w:val="es-MX"/>
        </w:rPr>
        <w:t xml:space="preserve">tablero que visualiza </w:t>
      </w:r>
      <w:r w:rsidRPr="00FF7F55">
        <w:rPr>
          <w:lang w:val="es-MX"/>
        </w:rPr>
        <w:t>un índice que se construye con 3 pilares cuya metodología se encuentra debajo y sirve como herramienta didáctica para observar en un mismo momento las diversas producciones del agro argentino</w:t>
      </w:r>
      <w:r w:rsidR="00DE70AF">
        <w:rPr>
          <w:lang w:val="es-MX"/>
        </w:rPr>
        <w:t xml:space="preserve"> con la misma metodología</w:t>
      </w:r>
      <w:r w:rsidRPr="00FF7F55">
        <w:rPr>
          <w:lang w:val="es-MX"/>
        </w:rPr>
        <w:t>. Es un proceso dinámico con actualización de los indicadores para medir el estado de situación tanto productivo como de mercado como la ecuación micro de cad</w:t>
      </w:r>
      <w:r>
        <w:rPr>
          <w:lang w:val="es-MX"/>
        </w:rPr>
        <w:t>a una de las actividades.</w:t>
      </w:r>
    </w:p>
    <w:p w14:paraId="3CA7407C" w14:textId="255C6E8E" w:rsidR="00FF7F55" w:rsidRDefault="00FF7F55" w:rsidP="00FF7F55">
      <w:pPr>
        <w:spacing w:after="0" w:line="240" w:lineRule="auto"/>
        <w:jc w:val="both"/>
        <w:rPr>
          <w:lang w:val="es-MX"/>
        </w:rPr>
      </w:pPr>
      <w:r>
        <w:rPr>
          <w:lang w:val="es-MX"/>
        </w:rPr>
        <w:t>Los números de</w:t>
      </w:r>
      <w:r w:rsidRPr="00FF7F55">
        <w:rPr>
          <w:lang w:val="es-MX"/>
        </w:rPr>
        <w:t xml:space="preserve"> marzo</w:t>
      </w:r>
      <w:r>
        <w:rPr>
          <w:lang w:val="es-MX"/>
        </w:rPr>
        <w:t xml:space="preserve">, </w:t>
      </w:r>
      <w:r w:rsidR="00DE70AF">
        <w:rPr>
          <w:lang w:val="es-MX"/>
        </w:rPr>
        <w:t xml:space="preserve">(que componen este </w:t>
      </w:r>
      <w:r>
        <w:rPr>
          <w:lang w:val="es-MX"/>
        </w:rPr>
        <w:t>semáforo de abril</w:t>
      </w:r>
      <w:r w:rsidR="00DE70AF">
        <w:rPr>
          <w:lang w:val="es-MX"/>
        </w:rPr>
        <w:t>)</w:t>
      </w:r>
      <w:r>
        <w:rPr>
          <w:lang w:val="es-MX"/>
        </w:rPr>
        <w:t>,</w:t>
      </w:r>
      <w:r w:rsidRPr="00FF7F55">
        <w:rPr>
          <w:lang w:val="es-MX"/>
        </w:rPr>
        <w:t xml:space="preserve"> </w:t>
      </w:r>
      <w:r>
        <w:rPr>
          <w:lang w:val="es-MX"/>
        </w:rPr>
        <w:t xml:space="preserve">muestra </w:t>
      </w:r>
      <w:r w:rsidR="00DE70AF">
        <w:rPr>
          <w:lang w:val="es-MX"/>
        </w:rPr>
        <w:t>que las</w:t>
      </w:r>
      <w:r w:rsidRPr="00FF7F55">
        <w:rPr>
          <w:lang w:val="es-MX"/>
        </w:rPr>
        <w:t xml:space="preserve"> producciones </w:t>
      </w:r>
      <w:r w:rsidR="00DE70AF">
        <w:rPr>
          <w:lang w:val="es-MX"/>
        </w:rPr>
        <w:t xml:space="preserve">agro </w:t>
      </w:r>
      <w:r w:rsidRPr="00FF7F55">
        <w:rPr>
          <w:lang w:val="es-MX"/>
        </w:rPr>
        <w:t>tienen precios por debajo de la inflación y costos altos</w:t>
      </w:r>
      <w:r>
        <w:rPr>
          <w:lang w:val="es-MX"/>
        </w:rPr>
        <w:t>,</w:t>
      </w:r>
      <w:r w:rsidRPr="00FF7F55">
        <w:rPr>
          <w:lang w:val="es-MX"/>
        </w:rPr>
        <w:t xml:space="preserve"> por eso el primer pilar suele estar en rojo.</w:t>
      </w:r>
      <w:r w:rsidR="00DE70AF">
        <w:rPr>
          <w:lang w:val="es-MX"/>
        </w:rPr>
        <w:t xml:space="preserve"> </w:t>
      </w:r>
      <w:r w:rsidRPr="00FF7F55">
        <w:rPr>
          <w:lang w:val="es-MX"/>
        </w:rPr>
        <w:t xml:space="preserve"> </w:t>
      </w:r>
      <w:r w:rsidR="00DE70AF" w:rsidRPr="00DE70AF">
        <w:rPr>
          <w:lang w:val="es-MX"/>
        </w:rPr>
        <w:t xml:space="preserve">Si bien hubo precios que sufrieron saltos </w:t>
      </w:r>
      <w:r w:rsidR="00DE70AF">
        <w:rPr>
          <w:lang w:val="es-MX"/>
        </w:rPr>
        <w:t xml:space="preserve">de entre 12 a 29% </w:t>
      </w:r>
      <w:r w:rsidR="00DE70AF" w:rsidRPr="00DE70AF">
        <w:rPr>
          <w:lang w:val="es-MX"/>
        </w:rPr>
        <w:t>en el mes de marzo</w:t>
      </w:r>
      <w:r w:rsidR="00DE70AF">
        <w:rPr>
          <w:lang w:val="es-MX"/>
        </w:rPr>
        <w:t>,</w:t>
      </w:r>
      <w:r w:rsidR="00DE70AF" w:rsidRPr="00DE70AF">
        <w:rPr>
          <w:lang w:val="es-MX"/>
        </w:rPr>
        <w:t xml:space="preserve"> si se analiza en forma interanual todavía no se observa un cambio de tendencia significativo</w:t>
      </w:r>
      <w:r w:rsidR="00DE70AF">
        <w:rPr>
          <w:lang w:val="es-MX"/>
        </w:rPr>
        <w:t>. P</w:t>
      </w:r>
      <w:r w:rsidR="00DE70AF" w:rsidRPr="00DE70AF">
        <w:rPr>
          <w:lang w:val="es-MX"/>
        </w:rPr>
        <w:t xml:space="preserve">ara </w:t>
      </w:r>
      <w:r w:rsidR="00DE70AF">
        <w:rPr>
          <w:lang w:val="es-MX"/>
        </w:rPr>
        <w:t xml:space="preserve">el mes siguiente </w:t>
      </w:r>
      <w:r w:rsidR="00DE70AF" w:rsidRPr="00DE70AF">
        <w:rPr>
          <w:lang w:val="es-MX"/>
        </w:rPr>
        <w:t>se espera que esta tendencia empeore un poco más</w:t>
      </w:r>
      <w:r w:rsidR="00DE70AF">
        <w:rPr>
          <w:lang w:val="es-MX"/>
        </w:rPr>
        <w:t>. A</w:t>
      </w:r>
      <w:r w:rsidRPr="00FF7F55">
        <w:rPr>
          <w:lang w:val="es-MX"/>
        </w:rPr>
        <w:t xml:space="preserve"> la derecha </w:t>
      </w:r>
      <w:r w:rsidR="00DE70AF">
        <w:rPr>
          <w:lang w:val="es-MX"/>
        </w:rPr>
        <w:t xml:space="preserve">de la tabla </w:t>
      </w:r>
      <w:r w:rsidRPr="00FF7F55">
        <w:rPr>
          <w:lang w:val="es-MX"/>
        </w:rPr>
        <w:t>se observa</w:t>
      </w:r>
      <w:r w:rsidR="00DE70AF">
        <w:rPr>
          <w:lang w:val="es-MX"/>
        </w:rPr>
        <w:t>n los colores</w:t>
      </w:r>
      <w:r w:rsidRPr="00FF7F55">
        <w:rPr>
          <w:lang w:val="es-MX"/>
        </w:rPr>
        <w:t xml:space="preserve"> de los semáforos históricos</w:t>
      </w:r>
      <w:r w:rsidR="00DE70AF">
        <w:rPr>
          <w:lang w:val="es-MX"/>
        </w:rPr>
        <w:t>,</w:t>
      </w:r>
      <w:r w:rsidRPr="00FF7F55">
        <w:rPr>
          <w:lang w:val="es-MX"/>
        </w:rPr>
        <w:t xml:space="preserve"> confirmando el cambio de tendencia en este mes respecto a los anteriores, </w:t>
      </w:r>
      <w:r w:rsidR="00DE70AF">
        <w:rPr>
          <w:lang w:val="es-MX"/>
        </w:rPr>
        <w:t xml:space="preserve">siendo </w:t>
      </w:r>
      <w:r w:rsidRPr="00FF7F55">
        <w:rPr>
          <w:lang w:val="es-MX"/>
        </w:rPr>
        <w:t>un escenario peor al observado durante el año pasado en muchas actividades</w:t>
      </w:r>
      <w:r w:rsidR="00DE70AF">
        <w:rPr>
          <w:lang w:val="es-MX"/>
        </w:rPr>
        <w:t>.</w:t>
      </w:r>
    </w:p>
    <w:p w14:paraId="66446E6C" w14:textId="77777777" w:rsidR="00DE70AF" w:rsidRDefault="00DE70AF" w:rsidP="00FF7F55">
      <w:pPr>
        <w:spacing w:after="0" w:line="240" w:lineRule="auto"/>
        <w:jc w:val="both"/>
        <w:rPr>
          <w:lang w:val="es-MX"/>
        </w:rPr>
      </w:pPr>
      <w:r w:rsidRPr="00DE70AF">
        <w:rPr>
          <w:lang w:val="es-MX"/>
        </w:rPr>
        <w:t>Respecto de la sequía</w:t>
      </w:r>
      <w:r>
        <w:rPr>
          <w:lang w:val="es-MX"/>
        </w:rPr>
        <w:t>,</w:t>
      </w:r>
      <w:r w:rsidRPr="00DE70AF">
        <w:rPr>
          <w:lang w:val="es-MX"/>
        </w:rPr>
        <w:t xml:space="preserve"> </w:t>
      </w:r>
      <w:r>
        <w:rPr>
          <w:lang w:val="es-MX"/>
        </w:rPr>
        <w:t>casi la mitad de las</w:t>
      </w:r>
      <w:r w:rsidRPr="00DE70AF">
        <w:rPr>
          <w:lang w:val="es-MX"/>
        </w:rPr>
        <w:t xml:space="preserve"> producciones están recuperando los niveles productivos, pero en valores menores a los esperados</w:t>
      </w:r>
      <w:r>
        <w:rPr>
          <w:lang w:val="es-MX"/>
        </w:rPr>
        <w:t xml:space="preserve">. </w:t>
      </w:r>
    </w:p>
    <w:p w14:paraId="5A3D9DC5" w14:textId="633D261D" w:rsidR="00DE70AF" w:rsidRDefault="00DE70AF" w:rsidP="00FF7F55">
      <w:pPr>
        <w:spacing w:after="0" w:line="240" w:lineRule="auto"/>
        <w:jc w:val="both"/>
        <w:rPr>
          <w:lang w:val="es-MX"/>
        </w:rPr>
      </w:pPr>
      <w:r w:rsidRPr="00DE70AF">
        <w:rPr>
          <w:lang w:val="es-MX"/>
        </w:rPr>
        <w:t xml:space="preserve">Se destaca sin embargo la baja demanda a través de los indicadores de consumo y de exportaciones. Este aspecto es central </w:t>
      </w:r>
      <w:r>
        <w:rPr>
          <w:lang w:val="es-MX"/>
        </w:rPr>
        <w:t xml:space="preserve">por el efecto en </w:t>
      </w:r>
      <w:r w:rsidRPr="00DE70AF">
        <w:rPr>
          <w:lang w:val="es-MX"/>
        </w:rPr>
        <w:t>las expectativas</w:t>
      </w:r>
      <w:r>
        <w:rPr>
          <w:lang w:val="es-MX"/>
        </w:rPr>
        <w:t xml:space="preserve">, es decir, es el </w:t>
      </w:r>
      <w:proofErr w:type="gramStart"/>
      <w:r>
        <w:rPr>
          <w:lang w:val="es-MX"/>
        </w:rPr>
        <w:t>driver</w:t>
      </w:r>
      <w:proofErr w:type="gramEnd"/>
      <w:r>
        <w:rPr>
          <w:lang w:val="es-MX"/>
        </w:rPr>
        <w:t xml:space="preserve"> que </w:t>
      </w:r>
      <w:r w:rsidRPr="00DE70AF">
        <w:rPr>
          <w:lang w:val="es-MX"/>
        </w:rPr>
        <w:t>genera incentivos para mejorar la producción en las próximas campañas</w:t>
      </w:r>
      <w:r>
        <w:rPr>
          <w:lang w:val="es-MX"/>
        </w:rPr>
        <w:t>: a</w:t>
      </w:r>
      <w:r w:rsidRPr="00DE70AF">
        <w:rPr>
          <w:lang w:val="es-MX"/>
        </w:rPr>
        <w:t xml:space="preserve"> falta de demanda va a ser difícil generar inversiones a largo plazo</w:t>
      </w:r>
      <w:r>
        <w:rPr>
          <w:lang w:val="es-MX"/>
        </w:rPr>
        <w:t>.</w:t>
      </w:r>
    </w:p>
    <w:p w14:paraId="16F1C40B" w14:textId="77777777" w:rsidR="00DE70AF" w:rsidRDefault="00DE70AF" w:rsidP="00FF7F55">
      <w:pPr>
        <w:spacing w:after="0" w:line="240" w:lineRule="auto"/>
        <w:jc w:val="both"/>
        <w:rPr>
          <w:lang w:val="es-MX"/>
        </w:rPr>
      </w:pPr>
    </w:p>
    <w:p w14:paraId="58D14294" w14:textId="77777777" w:rsidR="00DE70AF" w:rsidRPr="00FF7F55" w:rsidRDefault="00DE70AF" w:rsidP="00FF7F55">
      <w:pPr>
        <w:spacing w:after="0" w:line="240" w:lineRule="auto"/>
        <w:jc w:val="both"/>
      </w:pPr>
    </w:p>
    <w:p w14:paraId="1CABB58C" w14:textId="16D4DFEE" w:rsidR="00761551" w:rsidRDefault="00FF7F55">
      <w:pPr>
        <w:spacing w:line="258" w:lineRule="auto"/>
        <w:rPr>
          <w:b/>
          <w:smallCaps/>
          <w:color w:val="017161"/>
          <w:sz w:val="28"/>
          <w:szCs w:val="28"/>
        </w:rPr>
      </w:pPr>
      <w:r w:rsidRPr="00FF7F55">
        <w:rPr>
          <w:b/>
          <w:smallCaps/>
          <w:color w:val="017161"/>
          <w:sz w:val="28"/>
          <w:szCs w:val="28"/>
        </w:rPr>
        <w:drawing>
          <wp:inline distT="0" distB="0" distL="0" distR="0" wp14:anchorId="7F9F740A" wp14:editId="20EB135E">
            <wp:extent cx="6193155" cy="3523615"/>
            <wp:effectExtent l="0" t="0" r="0" b="635"/>
            <wp:docPr id="181" name="Google Shape;181;p2" descr="Gráfico,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81" name="Google Shape;181;p2" descr="Gráfico, Escala de tiempo&#10;&#10;Descripción generada automáticamente"/>
                    <pic:cNvPicPr preferRelativeResize="0"/>
                  </pic:nvPicPr>
                  <pic:blipFill rotWithShape="1">
                    <a:blip r:embed="rId9">
                      <a:alphaModFix/>
                    </a:blip>
                    <a:srcRect/>
                    <a:stretch/>
                  </pic:blipFill>
                  <pic:spPr>
                    <a:xfrm>
                      <a:off x="0" y="0"/>
                      <a:ext cx="6193155" cy="3523615"/>
                    </a:xfrm>
                    <a:prstGeom prst="rect">
                      <a:avLst/>
                    </a:prstGeom>
                    <a:noFill/>
                    <a:ln>
                      <a:noFill/>
                    </a:ln>
                  </pic:spPr>
                </pic:pic>
              </a:graphicData>
            </a:graphic>
          </wp:inline>
        </w:drawing>
      </w:r>
    </w:p>
    <w:p w14:paraId="5A91B7E1" w14:textId="77777777" w:rsidR="00561777" w:rsidRDefault="00561777">
      <w:pPr>
        <w:rPr>
          <w:b/>
          <w:smallCaps/>
          <w:color w:val="017161"/>
          <w:sz w:val="28"/>
          <w:szCs w:val="28"/>
        </w:rPr>
      </w:pPr>
      <w:r>
        <w:rPr>
          <w:b/>
          <w:smallCaps/>
          <w:color w:val="017161"/>
          <w:sz w:val="28"/>
          <w:szCs w:val="28"/>
        </w:rPr>
        <w:br w:type="page"/>
      </w:r>
    </w:p>
    <w:p w14:paraId="4D96C0BF" w14:textId="55849695" w:rsidR="005541C1" w:rsidRPr="005541C1" w:rsidRDefault="00B33E2D" w:rsidP="005541C1">
      <w:pPr>
        <w:spacing w:line="258" w:lineRule="auto"/>
        <w:rPr>
          <w:b/>
          <w:smallCaps/>
          <w:color w:val="017161"/>
          <w:sz w:val="28"/>
          <w:szCs w:val="28"/>
        </w:rPr>
      </w:pPr>
      <w:r w:rsidRPr="005541C1">
        <w:rPr>
          <w:b/>
          <w:smallCaps/>
          <w:color w:val="017161"/>
          <w:sz w:val="28"/>
          <w:szCs w:val="28"/>
        </w:rPr>
        <w:lastRenderedPageBreak/>
        <w:t xml:space="preserve">Producción por producción. </w:t>
      </w:r>
    </w:p>
    <w:p w14:paraId="520D6CED" w14:textId="77777777" w:rsidR="00DE3012" w:rsidRDefault="005541C1" w:rsidP="00B33E2D">
      <w:pPr>
        <w:spacing w:after="0" w:line="240" w:lineRule="auto"/>
        <w:jc w:val="both"/>
        <w:rPr>
          <w:lang w:val="es-MX"/>
        </w:rPr>
      </w:pPr>
      <w:r>
        <w:rPr>
          <w:lang w:val="es-MX"/>
        </w:rPr>
        <w:t xml:space="preserve">El </w:t>
      </w:r>
      <w:r w:rsidRPr="005541C1">
        <w:rPr>
          <w:b/>
          <w:bCs/>
          <w:lang w:val="es-MX"/>
        </w:rPr>
        <w:t>a</w:t>
      </w:r>
      <w:r w:rsidR="00B33E2D" w:rsidRPr="005541C1">
        <w:rPr>
          <w:b/>
          <w:bCs/>
          <w:lang w:val="es-MX"/>
        </w:rPr>
        <w:t>lgo</w:t>
      </w:r>
      <w:r w:rsidRPr="005541C1">
        <w:rPr>
          <w:b/>
          <w:bCs/>
          <w:lang w:val="es-MX"/>
        </w:rPr>
        <w:t>dón</w:t>
      </w:r>
      <w:r w:rsidR="00B33E2D" w:rsidRPr="00B33E2D">
        <w:rPr>
          <w:lang w:val="es-MX"/>
        </w:rPr>
        <w:t xml:space="preserve"> está teniendo problemas productivos</w:t>
      </w:r>
      <w:r>
        <w:rPr>
          <w:lang w:val="es-MX"/>
        </w:rPr>
        <w:t xml:space="preserve"> (brotación), pero </w:t>
      </w:r>
      <w:r w:rsidR="00B33E2D" w:rsidRPr="00B33E2D">
        <w:rPr>
          <w:lang w:val="es-MX"/>
        </w:rPr>
        <w:t>mejora el área respecto de la campaña anterior</w:t>
      </w:r>
      <w:r>
        <w:rPr>
          <w:lang w:val="es-MX"/>
        </w:rPr>
        <w:t xml:space="preserve">, con </w:t>
      </w:r>
      <w:r w:rsidR="00B33E2D" w:rsidRPr="00B33E2D">
        <w:rPr>
          <w:lang w:val="es-MX"/>
        </w:rPr>
        <w:t>precios muy por debajo de la inflación</w:t>
      </w:r>
      <w:r>
        <w:rPr>
          <w:lang w:val="es-MX"/>
        </w:rPr>
        <w:t>,</w:t>
      </w:r>
      <w:r w:rsidR="00B33E2D" w:rsidRPr="00B33E2D">
        <w:rPr>
          <w:lang w:val="es-MX"/>
        </w:rPr>
        <w:t xml:space="preserve"> casi por la mitad</w:t>
      </w:r>
      <w:r>
        <w:rPr>
          <w:lang w:val="es-MX"/>
        </w:rPr>
        <w:t>,</w:t>
      </w:r>
      <w:r w:rsidR="00B33E2D" w:rsidRPr="00B33E2D">
        <w:rPr>
          <w:lang w:val="es-MX"/>
        </w:rPr>
        <w:t xml:space="preserve"> y no viene atravesando una buena trayectoria</w:t>
      </w:r>
      <w:r>
        <w:rPr>
          <w:lang w:val="es-MX"/>
        </w:rPr>
        <w:t>:</w:t>
      </w:r>
      <w:r w:rsidR="00B33E2D" w:rsidRPr="00B33E2D">
        <w:rPr>
          <w:lang w:val="es-MX"/>
        </w:rPr>
        <w:t xml:space="preserve"> estuvo todo el año en rojo</w:t>
      </w:r>
      <w:r>
        <w:rPr>
          <w:lang w:val="es-MX"/>
        </w:rPr>
        <w:t>. E</w:t>
      </w:r>
      <w:r w:rsidR="00B33E2D" w:rsidRPr="00B33E2D">
        <w:rPr>
          <w:lang w:val="es-MX"/>
        </w:rPr>
        <w:t xml:space="preserve">l </w:t>
      </w:r>
      <w:r w:rsidR="00B33E2D" w:rsidRPr="005541C1">
        <w:rPr>
          <w:b/>
          <w:bCs/>
          <w:lang w:val="es-MX"/>
        </w:rPr>
        <w:t>arroz</w:t>
      </w:r>
      <w:r w:rsidR="00B33E2D" w:rsidRPr="00B33E2D">
        <w:rPr>
          <w:lang w:val="es-MX"/>
        </w:rPr>
        <w:t xml:space="preserve"> tuvo una baja de precio en el mes de </w:t>
      </w:r>
      <w:proofErr w:type="gramStart"/>
      <w:r w:rsidR="00B33E2D" w:rsidRPr="00B33E2D">
        <w:rPr>
          <w:lang w:val="es-MX"/>
        </w:rPr>
        <w:t>marzo</w:t>
      </w:r>
      <w:proofErr w:type="gramEnd"/>
      <w:r w:rsidR="00B33E2D" w:rsidRPr="00B33E2D">
        <w:rPr>
          <w:lang w:val="es-MX"/>
        </w:rPr>
        <w:t xml:space="preserve"> pero interanualmente todavía se mantiene</w:t>
      </w:r>
      <w:r>
        <w:rPr>
          <w:lang w:val="es-MX"/>
        </w:rPr>
        <w:t>,</w:t>
      </w:r>
      <w:r w:rsidR="00B33E2D" w:rsidRPr="00B33E2D">
        <w:rPr>
          <w:lang w:val="es-MX"/>
        </w:rPr>
        <w:t xml:space="preserve"> está recuperando superficie y</w:t>
      </w:r>
      <w:r>
        <w:rPr>
          <w:lang w:val="es-MX"/>
        </w:rPr>
        <w:t xml:space="preserve"> ha</w:t>
      </w:r>
      <w:r w:rsidR="00B33E2D" w:rsidRPr="00B33E2D">
        <w:rPr>
          <w:lang w:val="es-MX"/>
        </w:rPr>
        <w:t xml:space="preserve"> reducido un poco su nivel de exportaciones por lo que el verde es clarito. El caso de </w:t>
      </w:r>
      <w:r w:rsidR="00B33E2D" w:rsidRPr="005541C1">
        <w:rPr>
          <w:b/>
          <w:bCs/>
          <w:lang w:val="es-MX"/>
        </w:rPr>
        <w:t>aves</w:t>
      </w:r>
      <w:r w:rsidR="00B33E2D" w:rsidRPr="00B33E2D">
        <w:rPr>
          <w:lang w:val="es-MX"/>
        </w:rPr>
        <w:t xml:space="preserve"> hemos modificado el índice de costos</w:t>
      </w:r>
      <w:r>
        <w:rPr>
          <w:lang w:val="es-MX"/>
        </w:rPr>
        <w:t>,</w:t>
      </w:r>
      <w:r w:rsidR="00B33E2D" w:rsidRPr="00B33E2D">
        <w:rPr>
          <w:lang w:val="es-MX"/>
        </w:rPr>
        <w:t xml:space="preserve"> donde pondera mucho más la producción de carne que la producción de huevos</w:t>
      </w:r>
      <w:r>
        <w:rPr>
          <w:lang w:val="es-MX"/>
        </w:rPr>
        <w:t xml:space="preserve"> que en </w:t>
      </w:r>
      <w:r w:rsidR="00B33E2D" w:rsidRPr="00B33E2D">
        <w:rPr>
          <w:lang w:val="es-MX"/>
        </w:rPr>
        <w:t>índices anteriores</w:t>
      </w:r>
      <w:r>
        <w:rPr>
          <w:lang w:val="es-MX"/>
        </w:rPr>
        <w:t xml:space="preserve"> (esta es </w:t>
      </w:r>
      <w:r w:rsidRPr="00B33E2D">
        <w:rPr>
          <w:lang w:val="es-MX"/>
        </w:rPr>
        <w:t>una</w:t>
      </w:r>
      <w:r w:rsidR="00B33E2D" w:rsidRPr="00B33E2D">
        <w:rPr>
          <w:lang w:val="es-MX"/>
        </w:rPr>
        <w:t xml:space="preserve"> corrección que agradecemos </w:t>
      </w:r>
      <w:r>
        <w:rPr>
          <w:lang w:val="es-MX"/>
        </w:rPr>
        <w:t xml:space="preserve">por </w:t>
      </w:r>
      <w:r w:rsidR="00B33E2D" w:rsidRPr="00B33E2D">
        <w:rPr>
          <w:lang w:val="es-MX"/>
        </w:rPr>
        <w:t>los comentarios recibidos</w:t>
      </w:r>
      <w:r>
        <w:rPr>
          <w:lang w:val="es-MX"/>
        </w:rPr>
        <w:t>). L</w:t>
      </w:r>
      <w:r w:rsidR="00B33E2D" w:rsidRPr="00B33E2D">
        <w:rPr>
          <w:lang w:val="es-MX"/>
        </w:rPr>
        <w:t>os precios si bien han subido en el mes de marzo interanualmente están por debajo de la inflación y con costos levemente a la par</w:t>
      </w:r>
      <w:r>
        <w:rPr>
          <w:lang w:val="es-MX"/>
        </w:rPr>
        <w:t>;</w:t>
      </w:r>
      <w:r w:rsidR="00B33E2D" w:rsidRPr="00B33E2D">
        <w:rPr>
          <w:lang w:val="es-MX"/>
        </w:rPr>
        <w:t xml:space="preserve"> los niveles de producción son aceptables y los niveles de consumo también son estables</w:t>
      </w:r>
      <w:r>
        <w:rPr>
          <w:lang w:val="es-MX"/>
        </w:rPr>
        <w:t>,</w:t>
      </w:r>
      <w:r w:rsidR="00B33E2D" w:rsidRPr="00B33E2D">
        <w:rPr>
          <w:lang w:val="es-MX"/>
        </w:rPr>
        <w:t xml:space="preserve"> </w:t>
      </w:r>
      <w:r>
        <w:rPr>
          <w:lang w:val="es-MX"/>
        </w:rPr>
        <w:t xml:space="preserve">se mantiene </w:t>
      </w:r>
      <w:r w:rsidR="00B33E2D" w:rsidRPr="00B33E2D">
        <w:rPr>
          <w:lang w:val="es-MX"/>
        </w:rPr>
        <w:t>el verde del mes anterior.</w:t>
      </w:r>
    </w:p>
    <w:p w14:paraId="3B3A08E3" w14:textId="77777777" w:rsidR="00DE3012" w:rsidRDefault="00B33E2D" w:rsidP="00B33E2D">
      <w:pPr>
        <w:spacing w:after="0" w:line="240" w:lineRule="auto"/>
        <w:jc w:val="both"/>
        <w:rPr>
          <w:lang w:val="es-MX"/>
        </w:rPr>
      </w:pPr>
      <w:r w:rsidRPr="00B33E2D">
        <w:rPr>
          <w:lang w:val="es-MX"/>
        </w:rPr>
        <w:t xml:space="preserve">La producción </w:t>
      </w:r>
      <w:r w:rsidRPr="005541C1">
        <w:rPr>
          <w:b/>
          <w:bCs/>
          <w:lang w:val="es-MX"/>
        </w:rPr>
        <w:t xml:space="preserve">de carnes </w:t>
      </w:r>
      <w:r w:rsidR="005541C1" w:rsidRPr="005541C1">
        <w:rPr>
          <w:b/>
          <w:bCs/>
          <w:lang w:val="es-MX"/>
        </w:rPr>
        <w:t>bovina</w:t>
      </w:r>
      <w:r w:rsidR="005541C1">
        <w:rPr>
          <w:lang w:val="es-MX"/>
        </w:rPr>
        <w:t xml:space="preserve"> es un interesante </w:t>
      </w:r>
      <w:r w:rsidRPr="00B33E2D">
        <w:rPr>
          <w:lang w:val="es-MX"/>
        </w:rPr>
        <w:t>desafío</w:t>
      </w:r>
      <w:r w:rsidR="005541C1">
        <w:rPr>
          <w:lang w:val="es-MX"/>
        </w:rPr>
        <w:t xml:space="preserve"> para sintetizar: </w:t>
      </w:r>
      <w:r w:rsidRPr="00B33E2D">
        <w:rPr>
          <w:lang w:val="es-MX"/>
        </w:rPr>
        <w:t xml:space="preserve">los precios si bien </w:t>
      </w:r>
      <w:r w:rsidR="005541C1">
        <w:rPr>
          <w:lang w:val="es-MX"/>
        </w:rPr>
        <w:t xml:space="preserve">se </w:t>
      </w:r>
      <w:r w:rsidRPr="00B33E2D">
        <w:rPr>
          <w:lang w:val="es-MX"/>
        </w:rPr>
        <w:t>han reducido en el mes de marzo</w:t>
      </w:r>
      <w:r w:rsidR="005541C1">
        <w:rPr>
          <w:lang w:val="es-MX"/>
        </w:rPr>
        <w:t>,</w:t>
      </w:r>
      <w:r w:rsidRPr="00B33E2D">
        <w:rPr>
          <w:lang w:val="es-MX"/>
        </w:rPr>
        <w:t xml:space="preserve"> interanualmente todavía se mantienen por el salto importante que pegaron en diciembre</w:t>
      </w:r>
      <w:r w:rsidR="005541C1">
        <w:rPr>
          <w:lang w:val="es-MX"/>
        </w:rPr>
        <w:t>,</w:t>
      </w:r>
      <w:r w:rsidRPr="00B33E2D">
        <w:rPr>
          <w:lang w:val="es-MX"/>
        </w:rPr>
        <w:t xml:space="preserve"> los niveles de producción medi</w:t>
      </w:r>
      <w:r w:rsidR="005541C1">
        <w:rPr>
          <w:lang w:val="es-MX"/>
        </w:rPr>
        <w:t>d</w:t>
      </w:r>
      <w:r w:rsidRPr="00B33E2D">
        <w:rPr>
          <w:lang w:val="es-MX"/>
        </w:rPr>
        <w:t>os a través de la faena se mantienen estables pero los niveles de demanda tanto internacional como local son de los más bajos de la última década</w:t>
      </w:r>
      <w:r w:rsidR="005541C1">
        <w:rPr>
          <w:lang w:val="es-MX"/>
        </w:rPr>
        <w:t>,</w:t>
      </w:r>
      <w:r w:rsidRPr="00B33E2D">
        <w:rPr>
          <w:lang w:val="es-MX"/>
        </w:rPr>
        <w:t xml:space="preserve"> por ello el color es verde pero </w:t>
      </w:r>
      <w:r w:rsidR="005541C1">
        <w:rPr>
          <w:lang w:val="es-MX"/>
        </w:rPr>
        <w:t>c</w:t>
      </w:r>
      <w:r w:rsidRPr="00B33E2D">
        <w:rPr>
          <w:lang w:val="es-MX"/>
        </w:rPr>
        <w:t xml:space="preserve">laro. </w:t>
      </w:r>
      <w:r w:rsidR="005541C1">
        <w:rPr>
          <w:lang w:val="es-MX"/>
        </w:rPr>
        <w:t xml:space="preserve">Estimamos que el próximo mes no se mantendrá esta relación. </w:t>
      </w:r>
      <w:r w:rsidRPr="00B33E2D">
        <w:rPr>
          <w:lang w:val="es-MX"/>
        </w:rPr>
        <w:t xml:space="preserve">El caso de los </w:t>
      </w:r>
      <w:r w:rsidRPr="005541C1">
        <w:rPr>
          <w:b/>
          <w:bCs/>
          <w:lang w:val="es-MX"/>
        </w:rPr>
        <w:t>cítricos</w:t>
      </w:r>
      <w:r w:rsidR="005541C1">
        <w:rPr>
          <w:b/>
          <w:bCs/>
          <w:lang w:val="es-MX"/>
        </w:rPr>
        <w:t xml:space="preserve"> dulces</w:t>
      </w:r>
      <w:r w:rsidRPr="00B33E2D">
        <w:rPr>
          <w:lang w:val="es-MX"/>
        </w:rPr>
        <w:t xml:space="preserve"> muestra un color rojo por los bajos precios</w:t>
      </w:r>
      <w:r w:rsidR="005541C1">
        <w:rPr>
          <w:lang w:val="es-MX"/>
        </w:rPr>
        <w:t>, donde estamos a la espera de</w:t>
      </w:r>
      <w:r w:rsidRPr="00B33E2D">
        <w:rPr>
          <w:lang w:val="es-MX"/>
        </w:rPr>
        <w:t>l otoño y el invierno</w:t>
      </w:r>
      <w:r w:rsidR="005541C1">
        <w:rPr>
          <w:lang w:val="es-MX"/>
        </w:rPr>
        <w:t xml:space="preserve">, ya que </w:t>
      </w:r>
      <w:r w:rsidRPr="00B33E2D">
        <w:rPr>
          <w:lang w:val="es-MX"/>
        </w:rPr>
        <w:t xml:space="preserve">son el periodo más importante </w:t>
      </w:r>
      <w:r w:rsidR="005541C1">
        <w:rPr>
          <w:lang w:val="es-MX"/>
        </w:rPr>
        <w:t xml:space="preserve">donde </w:t>
      </w:r>
      <w:r w:rsidRPr="00B33E2D">
        <w:rPr>
          <w:lang w:val="es-MX"/>
        </w:rPr>
        <w:t>llega la nueva cosecha.</w:t>
      </w:r>
    </w:p>
    <w:p w14:paraId="1927A94C" w14:textId="118BCCBC" w:rsidR="00B33E2D" w:rsidRDefault="005541C1" w:rsidP="00B33E2D">
      <w:pPr>
        <w:spacing w:after="0" w:line="240" w:lineRule="auto"/>
        <w:jc w:val="both"/>
        <w:rPr>
          <w:lang w:val="es-MX"/>
        </w:rPr>
      </w:pPr>
      <w:r w:rsidRPr="005541C1">
        <w:rPr>
          <w:lang w:val="es-MX"/>
        </w:rPr>
        <w:t xml:space="preserve">La producción </w:t>
      </w:r>
      <w:r w:rsidRPr="005541C1">
        <w:rPr>
          <w:b/>
          <w:bCs/>
          <w:lang w:val="es-MX"/>
        </w:rPr>
        <w:t>forestal</w:t>
      </w:r>
      <w:r w:rsidRPr="005541C1">
        <w:rPr>
          <w:lang w:val="es-MX"/>
        </w:rPr>
        <w:t xml:space="preserve"> muestra precios</w:t>
      </w:r>
      <w:r>
        <w:rPr>
          <w:lang w:val="es-MX"/>
        </w:rPr>
        <w:t xml:space="preserve"> del bosque implantado</w:t>
      </w:r>
      <w:r w:rsidRPr="005541C1">
        <w:rPr>
          <w:lang w:val="es-MX"/>
        </w:rPr>
        <w:t xml:space="preserve"> a la par de la inflación</w:t>
      </w:r>
      <w:r>
        <w:rPr>
          <w:lang w:val="es-MX"/>
        </w:rPr>
        <w:t>,</w:t>
      </w:r>
      <w:r w:rsidRPr="005541C1">
        <w:rPr>
          <w:lang w:val="es-MX"/>
        </w:rPr>
        <w:t xml:space="preserve"> quizá levemente superiores</w:t>
      </w:r>
      <w:r>
        <w:rPr>
          <w:lang w:val="es-MX"/>
        </w:rPr>
        <w:t>,</w:t>
      </w:r>
      <w:r w:rsidRPr="005541C1">
        <w:rPr>
          <w:lang w:val="es-MX"/>
        </w:rPr>
        <w:t xml:space="preserve"> pero el nivel de demanda es muy bajo</w:t>
      </w:r>
      <w:r>
        <w:rPr>
          <w:lang w:val="es-MX"/>
        </w:rPr>
        <w:t xml:space="preserve"> </w:t>
      </w:r>
      <w:r w:rsidR="00DE3012">
        <w:rPr>
          <w:lang w:val="es-MX"/>
        </w:rPr>
        <w:t>(</w:t>
      </w:r>
      <w:r w:rsidR="00DE3012" w:rsidRPr="005541C1">
        <w:rPr>
          <w:lang w:val="es-MX"/>
        </w:rPr>
        <w:t>un</w:t>
      </w:r>
      <w:r w:rsidRPr="005541C1">
        <w:rPr>
          <w:lang w:val="es-MX"/>
        </w:rPr>
        <w:t xml:space="preserve"> indicador que vamos a incorporar en próximos informes es un seguimiento del nivel de construcción</w:t>
      </w:r>
      <w:r>
        <w:rPr>
          <w:lang w:val="es-MX"/>
        </w:rPr>
        <w:t>), también</w:t>
      </w:r>
      <w:r w:rsidRPr="005541C1">
        <w:rPr>
          <w:lang w:val="es-MX"/>
        </w:rPr>
        <w:t xml:space="preserve"> ha bajado mucho la exportación y se observa en la tabla</w:t>
      </w:r>
      <w:r>
        <w:rPr>
          <w:lang w:val="es-MX"/>
        </w:rPr>
        <w:t xml:space="preserve">, por </w:t>
      </w:r>
      <w:r w:rsidRPr="005541C1">
        <w:rPr>
          <w:lang w:val="es-MX"/>
        </w:rPr>
        <w:t xml:space="preserve">eso </w:t>
      </w:r>
      <w:r>
        <w:rPr>
          <w:lang w:val="es-MX"/>
        </w:rPr>
        <w:t xml:space="preserve">la actividad </w:t>
      </w:r>
      <w:r w:rsidRPr="005541C1">
        <w:rPr>
          <w:lang w:val="es-MX"/>
        </w:rPr>
        <w:t>está en rojo</w:t>
      </w:r>
      <w:r>
        <w:rPr>
          <w:lang w:val="es-MX"/>
        </w:rPr>
        <w:t>. La</w:t>
      </w:r>
      <w:r w:rsidRPr="005541C1">
        <w:rPr>
          <w:lang w:val="es-MX"/>
        </w:rPr>
        <w:t xml:space="preserve"> producción de </w:t>
      </w:r>
      <w:r w:rsidRPr="005541C1">
        <w:rPr>
          <w:b/>
          <w:bCs/>
          <w:lang w:val="es-MX"/>
        </w:rPr>
        <w:t>granos</w:t>
      </w:r>
      <w:r w:rsidRPr="005541C1">
        <w:rPr>
          <w:lang w:val="es-MX"/>
        </w:rPr>
        <w:t xml:space="preserve"> es otro desafío para sintetizar</w:t>
      </w:r>
      <w:r>
        <w:rPr>
          <w:lang w:val="es-MX"/>
        </w:rPr>
        <w:t xml:space="preserve">: </w:t>
      </w:r>
      <w:r w:rsidRPr="005541C1">
        <w:rPr>
          <w:lang w:val="es-MX"/>
        </w:rPr>
        <w:t>acá se conjugan los 6 principales cultivos de Argentina</w:t>
      </w:r>
      <w:r>
        <w:rPr>
          <w:lang w:val="es-MX"/>
        </w:rPr>
        <w:t>,</w:t>
      </w:r>
      <w:r w:rsidRPr="005541C1">
        <w:rPr>
          <w:lang w:val="es-MX"/>
        </w:rPr>
        <w:t xml:space="preserve"> d</w:t>
      </w:r>
      <w:r>
        <w:rPr>
          <w:lang w:val="es-MX"/>
        </w:rPr>
        <w:t>o</w:t>
      </w:r>
      <w:r w:rsidRPr="005541C1">
        <w:rPr>
          <w:lang w:val="es-MX"/>
        </w:rPr>
        <w:t xml:space="preserve">nde se observa </w:t>
      </w:r>
      <w:r>
        <w:rPr>
          <w:lang w:val="es-MX"/>
        </w:rPr>
        <w:t>lo</w:t>
      </w:r>
      <w:r w:rsidRPr="005541C1">
        <w:rPr>
          <w:lang w:val="es-MX"/>
        </w:rPr>
        <w:t xml:space="preserve"> bajo </w:t>
      </w:r>
      <w:r>
        <w:rPr>
          <w:lang w:val="es-MX"/>
        </w:rPr>
        <w:t xml:space="preserve">de los </w:t>
      </w:r>
      <w:r w:rsidRPr="005541C1">
        <w:rPr>
          <w:lang w:val="es-MX"/>
        </w:rPr>
        <w:t>precios al productor</w:t>
      </w:r>
      <w:r>
        <w:rPr>
          <w:lang w:val="es-MX"/>
        </w:rPr>
        <w:t>, con</w:t>
      </w:r>
      <w:r w:rsidRPr="005541C1">
        <w:rPr>
          <w:lang w:val="es-MX"/>
        </w:rPr>
        <w:t xml:space="preserve"> costos por arriba de </w:t>
      </w:r>
      <w:r>
        <w:rPr>
          <w:lang w:val="es-MX"/>
        </w:rPr>
        <w:t>estos</w:t>
      </w:r>
      <w:r w:rsidRPr="005541C1">
        <w:rPr>
          <w:lang w:val="es-MX"/>
        </w:rPr>
        <w:t xml:space="preserve"> precios</w:t>
      </w:r>
      <w:r>
        <w:rPr>
          <w:lang w:val="es-MX"/>
        </w:rPr>
        <w:t>, con</w:t>
      </w:r>
      <w:r w:rsidRPr="005541C1">
        <w:rPr>
          <w:lang w:val="es-MX"/>
        </w:rPr>
        <w:t xml:space="preserve"> una leve recuperación productiva saliendo de la sequía </w:t>
      </w:r>
      <w:r>
        <w:rPr>
          <w:lang w:val="es-MX"/>
        </w:rPr>
        <w:t>(</w:t>
      </w:r>
      <w:r w:rsidRPr="005541C1">
        <w:rPr>
          <w:lang w:val="es-MX"/>
        </w:rPr>
        <w:t>las estimaciones de la gruesa empezaron a publicarse</w:t>
      </w:r>
      <w:r>
        <w:rPr>
          <w:lang w:val="es-MX"/>
        </w:rPr>
        <w:t>) con un</w:t>
      </w:r>
      <w:r w:rsidRPr="005541C1">
        <w:rPr>
          <w:lang w:val="es-MX"/>
        </w:rPr>
        <w:t xml:space="preserve"> muy bajo nivel de exportación </w:t>
      </w:r>
      <w:r>
        <w:rPr>
          <w:lang w:val="es-MX"/>
        </w:rPr>
        <w:t xml:space="preserve">(en valor=precio por cantidad) </w:t>
      </w:r>
      <w:r w:rsidRPr="005541C1">
        <w:rPr>
          <w:lang w:val="es-MX"/>
        </w:rPr>
        <w:t>inclusive respecto a la campaña anterior.</w:t>
      </w:r>
    </w:p>
    <w:p w14:paraId="366DD598" w14:textId="1B742221" w:rsidR="00DE3012" w:rsidRDefault="00DE3012" w:rsidP="00B33E2D">
      <w:pPr>
        <w:spacing w:after="0" w:line="240" w:lineRule="auto"/>
        <w:jc w:val="both"/>
        <w:rPr>
          <w:lang w:val="es-MX"/>
        </w:rPr>
      </w:pPr>
      <w:r>
        <w:rPr>
          <w:lang w:val="es-MX"/>
        </w:rPr>
        <w:t>Las</w:t>
      </w:r>
      <w:r w:rsidRPr="00DE3012">
        <w:rPr>
          <w:lang w:val="es-MX"/>
        </w:rPr>
        <w:t xml:space="preserve"> </w:t>
      </w:r>
      <w:r w:rsidRPr="00DE3012">
        <w:rPr>
          <w:b/>
          <w:bCs/>
          <w:lang w:val="es-MX"/>
        </w:rPr>
        <w:t>hortalizas</w:t>
      </w:r>
      <w:r w:rsidRPr="00DE3012">
        <w:rPr>
          <w:lang w:val="es-MX"/>
        </w:rPr>
        <w:t xml:space="preserve"> </w:t>
      </w:r>
      <w:r>
        <w:rPr>
          <w:lang w:val="es-MX"/>
        </w:rPr>
        <w:t>muestran</w:t>
      </w:r>
      <w:r w:rsidRPr="00DE3012">
        <w:rPr>
          <w:lang w:val="es-MX"/>
        </w:rPr>
        <w:t xml:space="preserve"> volatilidad de precios que cambia mes a mes</w:t>
      </w:r>
      <w:r>
        <w:rPr>
          <w:lang w:val="es-MX"/>
        </w:rPr>
        <w:t>. L</w:t>
      </w:r>
      <w:r w:rsidRPr="00DE3012">
        <w:rPr>
          <w:lang w:val="es-MX"/>
        </w:rPr>
        <w:t xml:space="preserve">a producción de </w:t>
      </w:r>
      <w:r w:rsidRPr="00DE3012">
        <w:rPr>
          <w:b/>
          <w:bCs/>
          <w:lang w:val="es-MX"/>
        </w:rPr>
        <w:t>leche</w:t>
      </w:r>
      <w:r w:rsidRPr="00DE3012">
        <w:rPr>
          <w:lang w:val="es-MX"/>
        </w:rPr>
        <w:t xml:space="preserve"> el precio productor se encuentra por encima de la inflación</w:t>
      </w:r>
      <w:r>
        <w:rPr>
          <w:lang w:val="es-MX"/>
        </w:rPr>
        <w:t>, con</w:t>
      </w:r>
      <w:r w:rsidRPr="00DE3012">
        <w:rPr>
          <w:lang w:val="es-MX"/>
        </w:rPr>
        <w:t xml:space="preserve"> costos son altos</w:t>
      </w:r>
      <w:r>
        <w:rPr>
          <w:lang w:val="es-MX"/>
        </w:rPr>
        <w:t>. L</w:t>
      </w:r>
      <w:r w:rsidRPr="00DE3012">
        <w:rPr>
          <w:lang w:val="es-MX"/>
        </w:rPr>
        <w:t xml:space="preserve">os </w:t>
      </w:r>
      <w:r>
        <w:rPr>
          <w:lang w:val="es-MX"/>
        </w:rPr>
        <w:t xml:space="preserve">litros producidos o </w:t>
      </w:r>
      <w:r w:rsidRPr="00DE3012">
        <w:rPr>
          <w:lang w:val="es-MX"/>
        </w:rPr>
        <w:t xml:space="preserve">volúmenes son muy bajos </w:t>
      </w:r>
      <w:r>
        <w:rPr>
          <w:lang w:val="es-MX"/>
        </w:rPr>
        <w:t>(</w:t>
      </w:r>
      <w:r w:rsidRPr="00DE3012">
        <w:rPr>
          <w:lang w:val="es-MX"/>
        </w:rPr>
        <w:t xml:space="preserve">los productores </w:t>
      </w:r>
      <w:r>
        <w:rPr>
          <w:lang w:val="es-MX"/>
        </w:rPr>
        <w:t xml:space="preserve">comentan que la factura mensual no alcanza pese a estos precios) </w:t>
      </w:r>
      <w:r w:rsidRPr="00DE3012">
        <w:rPr>
          <w:lang w:val="es-MX"/>
        </w:rPr>
        <w:t>y los niveles de exportación si bien son mayores en volumen son más bajos en valor</w:t>
      </w:r>
      <w:r>
        <w:rPr>
          <w:lang w:val="es-MX"/>
        </w:rPr>
        <w:t xml:space="preserve">, </w:t>
      </w:r>
      <w:r w:rsidRPr="00DE3012">
        <w:rPr>
          <w:lang w:val="es-MX"/>
        </w:rPr>
        <w:t>con una reducción del consumo interno</w:t>
      </w:r>
      <w:r>
        <w:rPr>
          <w:lang w:val="es-MX"/>
        </w:rPr>
        <w:t>. T</w:t>
      </w:r>
      <w:r w:rsidRPr="00DE3012">
        <w:rPr>
          <w:lang w:val="es-MX"/>
        </w:rPr>
        <w:t xml:space="preserve">oda esta ecuación nos brinda un escenario en rojo </w:t>
      </w:r>
      <w:r>
        <w:rPr>
          <w:lang w:val="es-MX"/>
        </w:rPr>
        <w:t>c</w:t>
      </w:r>
      <w:r w:rsidRPr="00DE3012">
        <w:rPr>
          <w:lang w:val="es-MX"/>
        </w:rPr>
        <w:t>laro</w:t>
      </w:r>
      <w:r>
        <w:rPr>
          <w:lang w:val="es-MX"/>
        </w:rPr>
        <w:t xml:space="preserve">: </w:t>
      </w:r>
      <w:r w:rsidRPr="00DE3012">
        <w:rPr>
          <w:lang w:val="es-MX"/>
        </w:rPr>
        <w:t xml:space="preserve">si alguno le interesa el tema con más detalle tanto por zona como por modelo productivo puede recurrir </w:t>
      </w:r>
      <w:r>
        <w:rPr>
          <w:lang w:val="es-MX"/>
        </w:rPr>
        <w:t>al observatorio: OCLA.org.ar.</w:t>
      </w:r>
      <w:r w:rsidRPr="00DE3012">
        <w:rPr>
          <w:lang w:val="es-MX"/>
        </w:rPr>
        <w:t xml:space="preserve"> </w:t>
      </w:r>
    </w:p>
    <w:p w14:paraId="0FE9FAE4" w14:textId="6ED10A88" w:rsidR="00B33E2D" w:rsidRDefault="00DE3012" w:rsidP="00B33E2D">
      <w:pPr>
        <w:spacing w:after="0" w:line="240" w:lineRule="auto"/>
        <w:jc w:val="both"/>
        <w:rPr>
          <w:b/>
          <w:smallCaps/>
          <w:color w:val="017161"/>
          <w:sz w:val="28"/>
          <w:szCs w:val="28"/>
        </w:rPr>
      </w:pPr>
      <w:r w:rsidRPr="00DE3012">
        <w:rPr>
          <w:lang w:val="es-MX"/>
        </w:rPr>
        <w:t xml:space="preserve">La producción de </w:t>
      </w:r>
      <w:r w:rsidRPr="003345F9">
        <w:rPr>
          <w:b/>
          <w:bCs/>
          <w:lang w:val="es-MX"/>
        </w:rPr>
        <w:t>mandioca</w:t>
      </w:r>
      <w:r w:rsidRPr="00DE3012">
        <w:rPr>
          <w:lang w:val="es-MX"/>
        </w:rPr>
        <w:t xml:space="preserve"> muestra precios muy por debajo de la inflación</w:t>
      </w:r>
      <w:r w:rsidR="003345F9">
        <w:rPr>
          <w:lang w:val="es-MX"/>
        </w:rPr>
        <w:t xml:space="preserve">. </w:t>
      </w:r>
      <w:r w:rsidR="003345F9" w:rsidRPr="003345F9">
        <w:rPr>
          <w:lang w:val="es-MX"/>
        </w:rPr>
        <w:t xml:space="preserve">La producción de </w:t>
      </w:r>
      <w:r w:rsidR="003345F9" w:rsidRPr="003345F9">
        <w:rPr>
          <w:b/>
          <w:bCs/>
          <w:lang w:val="es-MX"/>
        </w:rPr>
        <w:t>maní</w:t>
      </w:r>
      <w:r w:rsidR="003345F9" w:rsidRPr="003345F9">
        <w:rPr>
          <w:lang w:val="es-MX"/>
        </w:rPr>
        <w:t xml:space="preserve"> viene recuperando e</w:t>
      </w:r>
      <w:r w:rsidR="003345F9">
        <w:rPr>
          <w:lang w:val="es-MX"/>
        </w:rPr>
        <w:t>n</w:t>
      </w:r>
      <w:r w:rsidR="003345F9" w:rsidRPr="003345F9">
        <w:rPr>
          <w:lang w:val="es-MX"/>
        </w:rPr>
        <w:t xml:space="preserve"> superficie y precios</w:t>
      </w:r>
      <w:r w:rsidR="003345F9">
        <w:rPr>
          <w:lang w:val="es-MX"/>
        </w:rPr>
        <w:t xml:space="preserve">, </w:t>
      </w:r>
      <w:r w:rsidR="003345F9" w:rsidRPr="003345F9">
        <w:rPr>
          <w:lang w:val="es-MX"/>
        </w:rPr>
        <w:t xml:space="preserve">lo que permite este observar </w:t>
      </w:r>
      <w:r w:rsidR="003345F9">
        <w:rPr>
          <w:lang w:val="es-MX"/>
        </w:rPr>
        <w:t>l</w:t>
      </w:r>
      <w:r w:rsidR="003345F9" w:rsidRPr="003345F9">
        <w:rPr>
          <w:lang w:val="es-MX"/>
        </w:rPr>
        <w:t>a estabilidad respecto a los meses anteriores</w:t>
      </w:r>
      <w:r w:rsidR="003345F9">
        <w:rPr>
          <w:lang w:val="es-MX"/>
        </w:rPr>
        <w:t>. La</w:t>
      </w:r>
      <w:r w:rsidR="003345F9" w:rsidRPr="003345F9">
        <w:rPr>
          <w:lang w:val="es-MX"/>
        </w:rPr>
        <w:t xml:space="preserve"> producción de </w:t>
      </w:r>
      <w:r w:rsidR="003345F9" w:rsidRPr="003345F9">
        <w:rPr>
          <w:b/>
          <w:bCs/>
          <w:lang w:val="es-MX"/>
        </w:rPr>
        <w:t>miel</w:t>
      </w:r>
      <w:r w:rsidR="003345F9" w:rsidRPr="003345F9">
        <w:rPr>
          <w:lang w:val="es-MX"/>
        </w:rPr>
        <w:t xml:space="preserve"> tiene precios muy bajos</w:t>
      </w:r>
      <w:r w:rsidR="003345F9">
        <w:rPr>
          <w:lang w:val="es-MX"/>
        </w:rPr>
        <w:t>,</w:t>
      </w:r>
      <w:r w:rsidR="003345F9" w:rsidRPr="003345F9">
        <w:rPr>
          <w:lang w:val="es-MX"/>
        </w:rPr>
        <w:t xml:space="preserve"> siguen los problemas productivos y muy baja exportación lo cual mantiene el rojo</w:t>
      </w:r>
      <w:r w:rsidR="003345F9">
        <w:rPr>
          <w:lang w:val="es-MX"/>
        </w:rPr>
        <w:t>;</w:t>
      </w:r>
      <w:r w:rsidR="003345F9" w:rsidRPr="003345F9">
        <w:rPr>
          <w:lang w:val="es-MX"/>
        </w:rPr>
        <w:t xml:space="preserve"> junto a la producción </w:t>
      </w:r>
      <w:r w:rsidR="003345F9" w:rsidRPr="003345F9">
        <w:rPr>
          <w:b/>
          <w:bCs/>
          <w:lang w:val="es-MX"/>
        </w:rPr>
        <w:t>ovina</w:t>
      </w:r>
      <w:r w:rsidR="003345F9">
        <w:rPr>
          <w:b/>
          <w:bCs/>
          <w:lang w:val="es-MX"/>
        </w:rPr>
        <w:t xml:space="preserve">, </w:t>
      </w:r>
      <w:r w:rsidR="003345F9" w:rsidRPr="003345F9">
        <w:rPr>
          <w:lang w:val="es-MX"/>
        </w:rPr>
        <w:t>que</w:t>
      </w:r>
      <w:r w:rsidR="003345F9">
        <w:rPr>
          <w:b/>
          <w:bCs/>
          <w:lang w:val="es-MX"/>
        </w:rPr>
        <w:t xml:space="preserve"> </w:t>
      </w:r>
      <w:r w:rsidR="003345F9" w:rsidRPr="003345F9">
        <w:rPr>
          <w:lang w:val="es-MX"/>
        </w:rPr>
        <w:t>no ha mostrado un cambio de tendencia</w:t>
      </w:r>
      <w:r w:rsidR="003345F9">
        <w:rPr>
          <w:lang w:val="es-MX"/>
        </w:rPr>
        <w:t>. En la</w:t>
      </w:r>
      <w:r w:rsidR="003345F9" w:rsidRPr="003345F9">
        <w:rPr>
          <w:lang w:val="es-MX"/>
        </w:rPr>
        <w:t xml:space="preserve"> producción de </w:t>
      </w:r>
      <w:r w:rsidR="003345F9" w:rsidRPr="003345F9">
        <w:rPr>
          <w:b/>
          <w:bCs/>
          <w:lang w:val="es-MX"/>
        </w:rPr>
        <w:t>peras y manzanas</w:t>
      </w:r>
      <w:r w:rsidR="003345F9" w:rsidRPr="003345F9">
        <w:rPr>
          <w:lang w:val="es-MX"/>
        </w:rPr>
        <w:t xml:space="preserve"> ha ingresado la nueva campaña</w:t>
      </w:r>
      <w:r w:rsidR="003345F9">
        <w:rPr>
          <w:lang w:val="es-MX"/>
        </w:rPr>
        <w:t>, c</w:t>
      </w:r>
      <w:r w:rsidR="003345F9" w:rsidRPr="003345F9">
        <w:rPr>
          <w:lang w:val="es-MX"/>
        </w:rPr>
        <w:t>on lo</w:t>
      </w:r>
      <w:r w:rsidR="003345F9">
        <w:rPr>
          <w:lang w:val="es-MX"/>
        </w:rPr>
        <w:t xml:space="preserve"> que</w:t>
      </w:r>
      <w:r w:rsidR="003345F9" w:rsidRPr="003345F9">
        <w:rPr>
          <w:lang w:val="es-MX"/>
        </w:rPr>
        <w:t xml:space="preserve"> se espera que en los próximos meses se puedan ver mayores volúmenes, d</w:t>
      </w:r>
      <w:r w:rsidR="003345F9">
        <w:rPr>
          <w:lang w:val="es-MX"/>
        </w:rPr>
        <w:t>o</w:t>
      </w:r>
      <w:r w:rsidR="003345F9" w:rsidRPr="003345F9">
        <w:rPr>
          <w:lang w:val="es-MX"/>
        </w:rPr>
        <w:t xml:space="preserve">nde la ecuación económica </w:t>
      </w:r>
      <w:r w:rsidR="003345F9">
        <w:rPr>
          <w:lang w:val="es-MX"/>
        </w:rPr>
        <w:t xml:space="preserve">y logística </w:t>
      </w:r>
      <w:r w:rsidR="003345F9" w:rsidRPr="003345F9">
        <w:rPr>
          <w:lang w:val="es-MX"/>
        </w:rPr>
        <w:t xml:space="preserve">va a </w:t>
      </w:r>
      <w:r w:rsidR="003345F9">
        <w:rPr>
          <w:lang w:val="es-MX"/>
        </w:rPr>
        <w:t>habilitar</w:t>
      </w:r>
      <w:r w:rsidR="003345F9" w:rsidRPr="003345F9">
        <w:rPr>
          <w:lang w:val="es-MX"/>
        </w:rPr>
        <w:t xml:space="preserve"> los momentos de </w:t>
      </w:r>
      <w:r w:rsidR="003345F9">
        <w:rPr>
          <w:lang w:val="es-MX"/>
        </w:rPr>
        <w:t xml:space="preserve">envío a los distintos mercados. Hay </w:t>
      </w:r>
      <w:r w:rsidR="003345F9" w:rsidRPr="003345F9">
        <w:rPr>
          <w:lang w:val="es-MX"/>
        </w:rPr>
        <w:t>que estar atentos al costo de la energía</w:t>
      </w:r>
      <w:r w:rsidR="003345F9">
        <w:rPr>
          <w:lang w:val="es-MX"/>
        </w:rPr>
        <w:t xml:space="preserve"> eléctrica</w:t>
      </w:r>
      <w:r w:rsidR="003345F9" w:rsidRPr="003345F9">
        <w:rPr>
          <w:lang w:val="es-MX"/>
        </w:rPr>
        <w:t xml:space="preserve">, </w:t>
      </w:r>
      <w:r w:rsidR="003345F9">
        <w:rPr>
          <w:lang w:val="es-MX"/>
        </w:rPr>
        <w:t>principal</w:t>
      </w:r>
      <w:r w:rsidR="003345F9" w:rsidRPr="003345F9">
        <w:rPr>
          <w:lang w:val="es-MX"/>
        </w:rPr>
        <w:t xml:space="preserve"> insumo para el </w:t>
      </w:r>
      <w:r w:rsidR="003345F9">
        <w:rPr>
          <w:lang w:val="es-MX"/>
        </w:rPr>
        <w:t>a</w:t>
      </w:r>
      <w:r w:rsidR="003345F9" w:rsidRPr="003345F9">
        <w:rPr>
          <w:lang w:val="es-MX"/>
        </w:rPr>
        <w:t xml:space="preserve">condicionamiento </w:t>
      </w:r>
      <w:r w:rsidR="003345F9">
        <w:rPr>
          <w:lang w:val="es-MX"/>
        </w:rPr>
        <w:t xml:space="preserve">y acopio </w:t>
      </w:r>
      <w:r w:rsidR="003345F9" w:rsidRPr="003345F9">
        <w:rPr>
          <w:lang w:val="es-MX"/>
        </w:rPr>
        <w:t>de la fruta</w:t>
      </w:r>
      <w:r w:rsidR="003345F9">
        <w:rPr>
          <w:lang w:val="es-MX"/>
        </w:rPr>
        <w:t xml:space="preserve">. </w:t>
      </w:r>
      <w:r w:rsidR="003345F9" w:rsidRPr="003345F9">
        <w:rPr>
          <w:lang w:val="es-MX"/>
        </w:rPr>
        <w:t xml:space="preserve">La producción </w:t>
      </w:r>
      <w:r w:rsidR="003345F9" w:rsidRPr="00561777">
        <w:rPr>
          <w:b/>
          <w:bCs/>
          <w:lang w:val="es-MX"/>
        </w:rPr>
        <w:t>porcina</w:t>
      </w:r>
      <w:r w:rsidR="003345F9" w:rsidRPr="003345F9">
        <w:rPr>
          <w:lang w:val="es-MX"/>
        </w:rPr>
        <w:t xml:space="preserve"> </w:t>
      </w:r>
      <w:r w:rsidR="00561777">
        <w:rPr>
          <w:lang w:val="es-MX"/>
        </w:rPr>
        <w:t>(</w:t>
      </w:r>
      <w:r w:rsidR="003345F9" w:rsidRPr="003345F9">
        <w:rPr>
          <w:lang w:val="es-MX"/>
        </w:rPr>
        <w:t>carne de cerdo</w:t>
      </w:r>
      <w:r w:rsidR="00561777">
        <w:rPr>
          <w:lang w:val="es-MX"/>
        </w:rPr>
        <w:t>)</w:t>
      </w:r>
      <w:r w:rsidR="003345F9" w:rsidRPr="003345F9">
        <w:rPr>
          <w:lang w:val="es-MX"/>
        </w:rPr>
        <w:t xml:space="preserve"> muestra un estancamiento en los precios con costos elevados y un menor consumo</w:t>
      </w:r>
      <w:r w:rsidR="00561777">
        <w:rPr>
          <w:lang w:val="es-MX"/>
        </w:rPr>
        <w:t>,</w:t>
      </w:r>
      <w:r w:rsidR="003345F9" w:rsidRPr="003345F9">
        <w:rPr>
          <w:lang w:val="es-MX"/>
        </w:rPr>
        <w:t xml:space="preserve"> que combinado generan el cambio de color a rojo en este mes</w:t>
      </w:r>
      <w:r w:rsidR="00561777">
        <w:rPr>
          <w:lang w:val="es-MX"/>
        </w:rPr>
        <w:t xml:space="preserve"> (</w:t>
      </w:r>
      <w:r w:rsidR="003345F9" w:rsidRPr="003345F9">
        <w:rPr>
          <w:lang w:val="es-MX"/>
        </w:rPr>
        <w:t>esta actividad estaba en verde hasta el mes pasado</w:t>
      </w:r>
      <w:r w:rsidR="00561777">
        <w:rPr>
          <w:lang w:val="es-MX"/>
        </w:rPr>
        <w:t>)</w:t>
      </w:r>
      <w:r w:rsidR="003345F9" w:rsidRPr="003345F9">
        <w:rPr>
          <w:lang w:val="es-MX"/>
        </w:rPr>
        <w:t xml:space="preserve">. La producción de </w:t>
      </w:r>
      <w:r w:rsidR="003345F9" w:rsidRPr="00561777">
        <w:rPr>
          <w:b/>
          <w:bCs/>
          <w:lang w:val="es-MX"/>
        </w:rPr>
        <w:t>vino</w:t>
      </w:r>
      <w:r w:rsidR="003345F9" w:rsidRPr="003345F9">
        <w:rPr>
          <w:lang w:val="es-MX"/>
        </w:rPr>
        <w:t xml:space="preserve"> está finalizando su cosecha</w:t>
      </w:r>
      <w:r w:rsidR="00561777">
        <w:rPr>
          <w:lang w:val="es-MX"/>
        </w:rPr>
        <w:t>,</w:t>
      </w:r>
      <w:r w:rsidR="003345F9" w:rsidRPr="003345F9">
        <w:rPr>
          <w:lang w:val="es-MX"/>
        </w:rPr>
        <w:t xml:space="preserve"> con menores volúmenes a los esperados</w:t>
      </w:r>
      <w:r w:rsidR="00561777">
        <w:rPr>
          <w:lang w:val="es-MX"/>
        </w:rPr>
        <w:t>, y</w:t>
      </w:r>
      <w:r w:rsidR="003345F9" w:rsidRPr="003345F9">
        <w:rPr>
          <w:lang w:val="es-MX"/>
        </w:rPr>
        <w:t xml:space="preserve"> </w:t>
      </w:r>
      <w:r w:rsidR="00561777" w:rsidRPr="003345F9">
        <w:rPr>
          <w:lang w:val="es-MX"/>
        </w:rPr>
        <w:t>precios</w:t>
      </w:r>
      <w:r w:rsidR="00561777">
        <w:rPr>
          <w:lang w:val="es-MX"/>
        </w:rPr>
        <w:t xml:space="preserve"> del vino en la Bolsa de Mendoza</w:t>
      </w:r>
      <w:r w:rsidR="003345F9" w:rsidRPr="003345F9">
        <w:rPr>
          <w:lang w:val="es-MX"/>
        </w:rPr>
        <w:t xml:space="preserve"> muy estancados</w:t>
      </w:r>
      <w:r w:rsidR="00561777">
        <w:rPr>
          <w:lang w:val="es-MX"/>
        </w:rPr>
        <w:t>,</w:t>
      </w:r>
      <w:r w:rsidR="003345F9" w:rsidRPr="003345F9">
        <w:rPr>
          <w:lang w:val="es-MX"/>
        </w:rPr>
        <w:t xml:space="preserve"> casi a la mitad de la inflación</w:t>
      </w:r>
      <w:r w:rsidR="00561777">
        <w:rPr>
          <w:lang w:val="es-MX"/>
        </w:rPr>
        <w:t>. Los volúmenes enviados al</w:t>
      </w:r>
      <w:r w:rsidR="003345F9" w:rsidRPr="003345F9">
        <w:rPr>
          <w:lang w:val="es-MX"/>
        </w:rPr>
        <w:t xml:space="preserve"> mercado interno y de exportación </w:t>
      </w:r>
      <w:r w:rsidR="00561777">
        <w:rPr>
          <w:lang w:val="es-MX"/>
        </w:rPr>
        <w:t>son menores interanualmente</w:t>
      </w:r>
      <w:r w:rsidR="003345F9" w:rsidRPr="003345F9">
        <w:rPr>
          <w:lang w:val="es-MX"/>
        </w:rPr>
        <w:t xml:space="preserve">. En este </w:t>
      </w:r>
      <w:r w:rsidR="00561777" w:rsidRPr="003345F9">
        <w:rPr>
          <w:lang w:val="es-MX"/>
        </w:rPr>
        <w:t xml:space="preserve">caso </w:t>
      </w:r>
      <w:r w:rsidR="00561777" w:rsidRPr="00561777">
        <w:rPr>
          <w:lang w:val="es-MX"/>
        </w:rPr>
        <w:t>también hay que estar atentos al costo de la energía</w:t>
      </w:r>
      <w:r w:rsidR="00561777">
        <w:rPr>
          <w:lang w:val="es-MX"/>
        </w:rPr>
        <w:t xml:space="preserve"> y </w:t>
      </w:r>
      <w:r w:rsidR="003345F9" w:rsidRPr="003345F9">
        <w:rPr>
          <w:lang w:val="es-MX"/>
        </w:rPr>
        <w:t>hay que esperar aquel vino se elabore</w:t>
      </w:r>
      <w:r w:rsidR="00561777">
        <w:rPr>
          <w:lang w:val="es-MX"/>
        </w:rPr>
        <w:t xml:space="preserve">, para </w:t>
      </w:r>
      <w:r w:rsidR="003345F9" w:rsidRPr="003345F9">
        <w:rPr>
          <w:lang w:val="es-MX"/>
        </w:rPr>
        <w:t xml:space="preserve">mediados de año se liberen los </w:t>
      </w:r>
      <w:r w:rsidR="00561777" w:rsidRPr="003345F9">
        <w:rPr>
          <w:lang w:val="es-MX"/>
        </w:rPr>
        <w:t>nuevos precios</w:t>
      </w:r>
      <w:r w:rsidR="00561777">
        <w:rPr>
          <w:lang w:val="es-MX"/>
        </w:rPr>
        <w:t>. E</w:t>
      </w:r>
      <w:r w:rsidR="003345F9" w:rsidRPr="003345F9">
        <w:rPr>
          <w:lang w:val="es-MX"/>
        </w:rPr>
        <w:t xml:space="preserve">n el caso de la </w:t>
      </w:r>
      <w:r w:rsidR="003345F9" w:rsidRPr="00561777">
        <w:rPr>
          <w:b/>
          <w:bCs/>
          <w:lang w:val="es-MX"/>
        </w:rPr>
        <w:t>yerba mate</w:t>
      </w:r>
      <w:r w:rsidR="003345F9" w:rsidRPr="003345F9">
        <w:rPr>
          <w:lang w:val="es-MX"/>
        </w:rPr>
        <w:t xml:space="preserve"> todos los indicadores se observan estable</w:t>
      </w:r>
      <w:r w:rsidR="00561777">
        <w:rPr>
          <w:lang w:val="es-MX"/>
        </w:rPr>
        <w:t>s,</w:t>
      </w:r>
      <w:r w:rsidR="003345F9" w:rsidRPr="003345F9">
        <w:rPr>
          <w:lang w:val="es-MX"/>
        </w:rPr>
        <w:t xml:space="preserve"> manteniendo el color del mes anterior</w:t>
      </w:r>
      <w:r w:rsidR="00561777">
        <w:rPr>
          <w:lang w:val="es-MX"/>
        </w:rPr>
        <w:t>.</w:t>
      </w:r>
    </w:p>
    <w:p w14:paraId="3724A9BC" w14:textId="77777777" w:rsidR="00561777" w:rsidRDefault="00561777" w:rsidP="00B33E2D">
      <w:pPr>
        <w:spacing w:after="0" w:line="240" w:lineRule="auto"/>
        <w:jc w:val="both"/>
        <w:rPr>
          <w:b/>
          <w:smallCaps/>
          <w:color w:val="017161"/>
          <w:sz w:val="28"/>
          <w:szCs w:val="28"/>
        </w:rPr>
      </w:pPr>
    </w:p>
    <w:p w14:paraId="1F6DE205" w14:textId="77777777" w:rsidR="00561777" w:rsidRDefault="00561777" w:rsidP="00B33E2D">
      <w:pPr>
        <w:spacing w:after="0" w:line="240" w:lineRule="auto"/>
        <w:jc w:val="both"/>
        <w:rPr>
          <w:b/>
          <w:smallCaps/>
          <w:color w:val="017161"/>
          <w:sz w:val="28"/>
          <w:szCs w:val="28"/>
        </w:rPr>
      </w:pPr>
    </w:p>
    <w:p w14:paraId="026084B2" w14:textId="6D1A221C" w:rsidR="00761551" w:rsidRDefault="00000000">
      <w:pPr>
        <w:spacing w:line="258" w:lineRule="auto"/>
        <w:rPr>
          <w:b/>
          <w:smallCaps/>
          <w:color w:val="017161"/>
          <w:sz w:val="28"/>
          <w:szCs w:val="28"/>
        </w:rPr>
      </w:pPr>
      <w:r>
        <w:rPr>
          <w:b/>
          <w:smallCaps/>
          <w:color w:val="017161"/>
          <w:sz w:val="28"/>
          <w:szCs w:val="28"/>
        </w:rPr>
        <w:lastRenderedPageBreak/>
        <w:t>Metodología del Semáforo</w:t>
      </w:r>
    </w:p>
    <w:p w14:paraId="4BCF430E" w14:textId="77777777" w:rsidR="00761551" w:rsidRDefault="00000000">
      <w:pPr>
        <w:spacing w:after="0" w:line="240" w:lineRule="auto"/>
        <w:jc w:val="both"/>
      </w:pPr>
      <w:r>
        <w:t xml:space="preserve">El Semáforo es un índice que busca reflejar la actualidad de las economías regionales, a través de colores para una comprensión más sencilla. Se elabora y difunde mensualmente desde enero de 2018, donde se analizan 19 economías regionales, con datos de fuentes públicas o privadas, con un proceso de validación con referentes. Incorpora nuevas fuentes y mejora paulatinamente, ha ido cambiando a lo largo de los meses. El índice S se compone de 3 pilares: Negocio (N -a nivel productor), Producción y Mercado (P </w:t>
      </w:r>
      <w:proofErr w:type="spellStart"/>
      <w:r>
        <w:t>yM</w:t>
      </w:r>
      <w:proofErr w:type="spellEnd"/>
      <w:r>
        <w:t xml:space="preserve"> - ambos </w:t>
      </w:r>
      <w:proofErr w:type="gramStart"/>
      <w:r>
        <w:t>a  nivel</w:t>
      </w:r>
      <w:proofErr w:type="gramEnd"/>
      <w:r>
        <w:t xml:space="preserve"> nacional).  Los tres pilares tienen el mismo peso. En el caso que no haya datos, el pilar no se toma en cuenta.</w:t>
      </w:r>
    </w:p>
    <w:p w14:paraId="694C583D" w14:textId="77777777" w:rsidR="00761551" w:rsidRDefault="00000000">
      <w:pPr>
        <w:pBdr>
          <w:top w:val="nil"/>
          <w:left w:val="nil"/>
          <w:bottom w:val="nil"/>
          <w:right w:val="nil"/>
          <w:between w:val="nil"/>
        </w:pBdr>
        <w:spacing w:after="0" w:line="240" w:lineRule="auto"/>
        <w:jc w:val="both"/>
        <w:rPr>
          <w:b/>
        </w:rPr>
      </w:pPr>
      <w:r>
        <w:rPr>
          <w:b/>
        </w:rPr>
        <w:t xml:space="preserve">S=⅓N + ⅓ P + ⅓ M </w:t>
      </w:r>
    </w:p>
    <w:p w14:paraId="30E1F913" w14:textId="77777777" w:rsidR="00761551" w:rsidRDefault="00000000">
      <w:pPr>
        <w:pBdr>
          <w:top w:val="nil"/>
          <w:left w:val="nil"/>
          <w:bottom w:val="nil"/>
          <w:right w:val="nil"/>
          <w:between w:val="nil"/>
        </w:pBdr>
        <w:spacing w:after="0" w:line="240" w:lineRule="auto"/>
        <w:jc w:val="both"/>
      </w:pPr>
      <w:r>
        <w:t xml:space="preserve">donde </w:t>
      </w:r>
      <w:r>
        <w:rPr>
          <w:b/>
        </w:rPr>
        <w:t>S</w:t>
      </w:r>
      <w:r>
        <w:t xml:space="preserve"> es el índice que da color al semáforo para cada una de las economías regionales</w:t>
      </w:r>
      <w:r>
        <w:rPr>
          <w:noProof/>
        </w:rPr>
        <mc:AlternateContent>
          <mc:Choice Requires="wpg">
            <w:drawing>
              <wp:anchor distT="0" distB="0" distL="114300" distR="114300" simplePos="0" relativeHeight="251661312" behindDoc="0" locked="0" layoutInCell="1" hidden="0" allowOverlap="1" wp14:anchorId="47B9AA98" wp14:editId="38D26921">
                <wp:simplePos x="0" y="0"/>
                <wp:positionH relativeFrom="column">
                  <wp:posOffset>7200900</wp:posOffset>
                </wp:positionH>
                <wp:positionV relativeFrom="paragraph">
                  <wp:posOffset>177800</wp:posOffset>
                </wp:positionV>
                <wp:extent cx="291465" cy="237490"/>
                <wp:effectExtent l="0" t="0" r="0" b="0"/>
                <wp:wrapNone/>
                <wp:docPr id="2054350963" name="Forma libre: forma 2054350963"/>
                <wp:cNvGraphicFramePr/>
                <a:graphic xmlns:a="http://schemas.openxmlformats.org/drawingml/2006/main">
                  <a:graphicData uri="http://schemas.microsoft.com/office/word/2010/wordprocessingShape">
                    <wps:wsp>
                      <wps:cNvSpPr/>
                      <wps:spPr>
                        <a:xfrm>
                          <a:off x="5219318" y="3680305"/>
                          <a:ext cx="253365" cy="199390"/>
                        </a:xfrm>
                        <a:custGeom>
                          <a:avLst/>
                          <a:gdLst/>
                          <a:ahLst/>
                          <a:cxnLst/>
                          <a:rect l="l" t="t" r="r" b="b"/>
                          <a:pathLst>
                            <a:path w="253365" h="199390" extrusionOk="0">
                              <a:moveTo>
                                <a:pt x="0" y="0"/>
                              </a:moveTo>
                              <a:lnTo>
                                <a:pt x="0" y="199390"/>
                              </a:lnTo>
                              <a:lnTo>
                                <a:pt x="253365" y="199390"/>
                              </a:lnTo>
                              <a:lnTo>
                                <a:pt x="25336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1A0B7A9" w14:textId="77777777" w:rsidR="00761551" w:rsidRDefault="00761551">
                            <w:pPr>
                              <w:spacing w:after="0" w:line="240" w:lineRule="auto"/>
                              <w:textDirection w:val="btLr"/>
                            </w:pP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7200900</wp:posOffset>
                </wp:positionH>
                <wp:positionV relativeFrom="paragraph">
                  <wp:posOffset>177800</wp:posOffset>
                </wp:positionV>
                <wp:extent cx="291465" cy="237490"/>
                <wp:effectExtent b="0" l="0" r="0" t="0"/>
                <wp:wrapNone/>
                <wp:docPr id="205435096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91465" cy="237490"/>
                        </a:xfrm>
                        <a:prstGeom prst="rect"/>
                        <a:ln/>
                      </pic:spPr>
                    </pic:pic>
                  </a:graphicData>
                </a:graphic>
              </wp:anchor>
            </w:drawing>
          </mc:Fallback>
        </mc:AlternateContent>
      </w:r>
    </w:p>
    <w:p w14:paraId="681D0A5E" w14:textId="77777777" w:rsidR="00761551" w:rsidRDefault="00000000">
      <w:pPr>
        <w:pBdr>
          <w:top w:val="nil"/>
          <w:left w:val="nil"/>
          <w:bottom w:val="nil"/>
          <w:right w:val="nil"/>
          <w:between w:val="nil"/>
        </w:pBdr>
        <w:spacing w:after="0" w:line="240" w:lineRule="auto"/>
        <w:jc w:val="both"/>
      </w:pPr>
      <w:r>
        <w:rPr>
          <w:b/>
        </w:rPr>
        <w:t>N</w:t>
      </w:r>
      <w:r>
        <w:t xml:space="preserve">=1 si p&gt;0 y c&gt;0; N=0 si p&lt;0 y c&gt;0 o </w:t>
      </w:r>
      <w:proofErr w:type="gramStart"/>
      <w:r>
        <w:t>si  p</w:t>
      </w:r>
      <w:proofErr w:type="gramEnd"/>
      <w:r>
        <w:t>&lt;0 y c&lt;0 y N=-1 si p&lt;0 y c&lt;0 donde</w:t>
      </w:r>
    </w:p>
    <w:p w14:paraId="3D23A864" w14:textId="77777777" w:rsidR="00761551" w:rsidRDefault="00000000">
      <w:pPr>
        <w:pBdr>
          <w:top w:val="nil"/>
          <w:left w:val="nil"/>
          <w:bottom w:val="nil"/>
          <w:right w:val="nil"/>
          <w:between w:val="nil"/>
        </w:pBdr>
        <w:spacing w:after="0" w:line="240" w:lineRule="auto"/>
        <w:jc w:val="both"/>
      </w:pPr>
      <w:r>
        <w:rPr>
          <w:b/>
        </w:rPr>
        <w:t>p</w:t>
      </w:r>
      <w:r>
        <w:t>= es la Variación interanual de Precios al Productor -Variación interanual del IPC (</w:t>
      </w:r>
      <w:proofErr w:type="spellStart"/>
      <w:r>
        <w:t>Indice</w:t>
      </w:r>
      <w:proofErr w:type="spellEnd"/>
      <w:r>
        <w:t xml:space="preserve"> de Precios al Consumidor) </w:t>
      </w:r>
    </w:p>
    <w:p w14:paraId="1BFFE1EB" w14:textId="77777777" w:rsidR="00761551" w:rsidRDefault="00000000">
      <w:pPr>
        <w:pBdr>
          <w:top w:val="nil"/>
          <w:left w:val="nil"/>
          <w:bottom w:val="nil"/>
          <w:right w:val="nil"/>
          <w:between w:val="nil"/>
        </w:pBdr>
        <w:spacing w:after="0" w:line="240" w:lineRule="auto"/>
        <w:jc w:val="both"/>
      </w:pPr>
      <w:r>
        <w:rPr>
          <w:b/>
        </w:rPr>
        <w:t>c</w:t>
      </w:r>
      <w:r>
        <w:t xml:space="preserve"> = (Variación interanual de Precios al Productor)</w:t>
      </w:r>
      <w:proofErr w:type="gramStart"/>
      <w:r>
        <w:t>-(</w:t>
      </w:r>
      <w:proofErr w:type="gramEnd"/>
      <w:r>
        <w:t>Variación interanual del Índice de Costos al Productor)</w:t>
      </w:r>
    </w:p>
    <w:p w14:paraId="428AA2D4" w14:textId="77777777" w:rsidR="00761551" w:rsidRDefault="00000000">
      <w:pPr>
        <w:pBdr>
          <w:top w:val="nil"/>
          <w:left w:val="nil"/>
          <w:bottom w:val="nil"/>
          <w:right w:val="nil"/>
          <w:between w:val="nil"/>
        </w:pBdr>
        <w:spacing w:after="0" w:line="240" w:lineRule="auto"/>
        <w:jc w:val="both"/>
      </w:pPr>
      <w:r>
        <w:t xml:space="preserve">Es decir, </w:t>
      </w:r>
      <w:r>
        <w:rPr>
          <w:b/>
        </w:rPr>
        <w:t>N</w:t>
      </w:r>
      <w:r>
        <w:t xml:space="preserve"> refleja la situación microeconómica, una aproximación al margen bruto, los precios al productor se comparan contra la inflación, para medir poder adquisitivo y la variación de los costos se comparan con la del precio del producto, como aproximación a la rentabilidad.  Estos valores se miden en pesos argentinos.</w:t>
      </w:r>
    </w:p>
    <w:p w14:paraId="5B956A2B" w14:textId="77777777" w:rsidR="00761551" w:rsidRDefault="00000000">
      <w:pPr>
        <w:pBdr>
          <w:top w:val="nil"/>
          <w:left w:val="nil"/>
          <w:bottom w:val="nil"/>
          <w:right w:val="nil"/>
          <w:between w:val="nil"/>
        </w:pBdr>
        <w:spacing w:after="0" w:line="240" w:lineRule="auto"/>
        <w:jc w:val="both"/>
      </w:pPr>
      <w:r>
        <w:rPr>
          <w:b/>
        </w:rPr>
        <w:t>P</w:t>
      </w:r>
      <w:r>
        <w:t xml:space="preserve">=1 </w:t>
      </w:r>
      <w:proofErr w:type="gramStart"/>
      <w:r>
        <w:t>si  s</w:t>
      </w:r>
      <w:proofErr w:type="gramEnd"/>
      <w:r>
        <w:t xml:space="preserve">&gt;0 y t&gt;0; </w:t>
      </w:r>
      <w:r>
        <w:rPr>
          <w:b/>
        </w:rPr>
        <w:t xml:space="preserve">P=0 </w:t>
      </w:r>
      <w:r>
        <w:t xml:space="preserve">si s&lt;0 y t&gt;0 o si s&lt;0 y t&lt;0 y </w:t>
      </w:r>
      <w:r>
        <w:rPr>
          <w:b/>
        </w:rPr>
        <w:t>P=-1</w:t>
      </w:r>
      <w:r>
        <w:t xml:space="preserve"> si s&lt;0 y t&lt;0</w:t>
      </w:r>
    </w:p>
    <w:p w14:paraId="0E16D495" w14:textId="77777777" w:rsidR="00761551" w:rsidRDefault="00000000">
      <w:pPr>
        <w:pBdr>
          <w:top w:val="nil"/>
          <w:left w:val="nil"/>
          <w:bottom w:val="nil"/>
          <w:right w:val="nil"/>
          <w:between w:val="nil"/>
        </w:pBdr>
        <w:spacing w:after="0" w:line="240" w:lineRule="auto"/>
        <w:jc w:val="both"/>
      </w:pPr>
      <w:r>
        <w:rPr>
          <w:b/>
        </w:rPr>
        <w:t>s</w:t>
      </w:r>
      <w:r>
        <w:t>= Variación interanual de la superficie o stock (dato nacional)</w:t>
      </w:r>
    </w:p>
    <w:p w14:paraId="1CE60D41" w14:textId="77777777" w:rsidR="00761551" w:rsidRDefault="00000000">
      <w:pPr>
        <w:pBdr>
          <w:top w:val="nil"/>
          <w:left w:val="nil"/>
          <w:bottom w:val="nil"/>
          <w:right w:val="nil"/>
          <w:between w:val="nil"/>
        </w:pBdr>
        <w:spacing w:after="0" w:line="240" w:lineRule="auto"/>
        <w:jc w:val="both"/>
      </w:pPr>
      <w:r>
        <w:rPr>
          <w:b/>
        </w:rPr>
        <w:t>t</w:t>
      </w:r>
      <w:r>
        <w:t xml:space="preserve">= es la Variación Interanual de la producción física (en volumen). Las actividades de base agrícola se miden en toneladas anuales estimadas al mes de referencia, mientras que en la ganadería se mide faena en toneladas mensuales.  Es decir, </w:t>
      </w:r>
      <w:r>
        <w:rPr>
          <w:b/>
        </w:rPr>
        <w:t>P</w:t>
      </w:r>
      <w:r>
        <w:t xml:space="preserve"> refleja la situación productiva, una aproximación al volumen físico, tanto de la base productiva (la superficie sembrada o las cabezas), como del producto en sí. </w:t>
      </w:r>
    </w:p>
    <w:p w14:paraId="40974823" w14:textId="77777777" w:rsidR="00761551" w:rsidRDefault="00000000">
      <w:pPr>
        <w:pBdr>
          <w:top w:val="nil"/>
          <w:left w:val="nil"/>
          <w:bottom w:val="nil"/>
          <w:right w:val="nil"/>
          <w:between w:val="nil"/>
        </w:pBdr>
        <w:spacing w:after="0" w:line="240" w:lineRule="auto"/>
        <w:jc w:val="both"/>
      </w:pPr>
      <w:r>
        <w:rPr>
          <w:b/>
        </w:rPr>
        <w:t>M=</w:t>
      </w:r>
      <w:r>
        <w:t xml:space="preserve">1 </w:t>
      </w:r>
      <w:proofErr w:type="gramStart"/>
      <w:r>
        <w:t>si  e</w:t>
      </w:r>
      <w:proofErr w:type="gramEnd"/>
      <w:r>
        <w:t xml:space="preserve">&gt;0 y/o c&gt;o, con  i&lt;0 ; </w:t>
      </w:r>
      <w:r>
        <w:rPr>
          <w:b/>
        </w:rPr>
        <w:t>M=0</w:t>
      </w:r>
      <w:r>
        <w:t xml:space="preserve"> si e&lt;0 y/o c&gt;0 o si e&gt;0 y/o c&lt;0 y </w:t>
      </w:r>
      <w:r>
        <w:rPr>
          <w:b/>
        </w:rPr>
        <w:t>M=-1</w:t>
      </w:r>
      <w:r>
        <w:t xml:space="preserve"> si e&lt;0 y/o c&lt;o</w:t>
      </w:r>
    </w:p>
    <w:p w14:paraId="06B7322C" w14:textId="77777777" w:rsidR="00761551" w:rsidRDefault="00000000">
      <w:pPr>
        <w:pBdr>
          <w:top w:val="nil"/>
          <w:left w:val="nil"/>
          <w:bottom w:val="nil"/>
          <w:right w:val="nil"/>
          <w:between w:val="nil"/>
        </w:pBdr>
        <w:spacing w:after="0" w:line="240" w:lineRule="auto"/>
        <w:jc w:val="both"/>
      </w:pPr>
      <w:proofErr w:type="spellStart"/>
      <w:r>
        <w:rPr>
          <w:b/>
        </w:rPr>
        <w:t>e</w:t>
      </w:r>
      <w:proofErr w:type="spellEnd"/>
      <w:r>
        <w:rPr>
          <w:b/>
        </w:rPr>
        <w:t>=</w:t>
      </w:r>
      <w:r>
        <w:t xml:space="preserve"> es la Variación del Promedio móvil de los últimos 12 meses de exportaciones</w:t>
      </w:r>
    </w:p>
    <w:p w14:paraId="3D0C7217" w14:textId="77777777" w:rsidR="00761551" w:rsidRDefault="00000000">
      <w:pPr>
        <w:pBdr>
          <w:top w:val="nil"/>
          <w:left w:val="nil"/>
          <w:bottom w:val="nil"/>
          <w:right w:val="nil"/>
          <w:between w:val="nil"/>
        </w:pBdr>
        <w:spacing w:after="0" w:line="240" w:lineRule="auto"/>
        <w:jc w:val="both"/>
      </w:pPr>
      <w:r>
        <w:rPr>
          <w:b/>
        </w:rPr>
        <w:t>i</w:t>
      </w:r>
      <w:r>
        <w:t>= es la Variación del Promedio móvil de los últimos 12 meses de importaciones</w:t>
      </w:r>
    </w:p>
    <w:p w14:paraId="2181A75C" w14:textId="77777777" w:rsidR="00761551" w:rsidRDefault="00000000">
      <w:pPr>
        <w:pBdr>
          <w:top w:val="nil"/>
          <w:left w:val="nil"/>
          <w:bottom w:val="nil"/>
          <w:right w:val="nil"/>
          <w:between w:val="nil"/>
        </w:pBdr>
        <w:spacing w:after="0" w:line="240" w:lineRule="auto"/>
        <w:jc w:val="both"/>
      </w:pPr>
      <w:r>
        <w:rPr>
          <w:b/>
        </w:rPr>
        <w:t>c</w:t>
      </w:r>
      <w:r>
        <w:t>= es el consumo per cápita del mes de referencia</w:t>
      </w:r>
    </w:p>
    <w:p w14:paraId="05FE4772" w14:textId="77777777" w:rsidR="00761551" w:rsidRDefault="00000000">
      <w:pPr>
        <w:pBdr>
          <w:top w:val="nil"/>
          <w:left w:val="nil"/>
          <w:bottom w:val="nil"/>
          <w:right w:val="nil"/>
          <w:between w:val="nil"/>
        </w:pBdr>
        <w:spacing w:after="0" w:line="240" w:lineRule="auto"/>
        <w:jc w:val="both"/>
      </w:pPr>
      <w:r>
        <w:rPr>
          <w:b/>
        </w:rPr>
        <w:t xml:space="preserve">e </w:t>
      </w:r>
      <w:r>
        <w:t>se pondera un 50% adicional, si la actividad es mayormente exportadora. Y</w:t>
      </w:r>
      <w:r>
        <w:rPr>
          <w:b/>
        </w:rPr>
        <w:t xml:space="preserve"> c</w:t>
      </w:r>
      <w:r>
        <w:t xml:space="preserve"> se pondera un 50% adicional, si la actividad es mayormente de consumo interno.</w:t>
      </w:r>
      <w:r>
        <w:rPr>
          <w:b/>
        </w:rPr>
        <w:t xml:space="preserve"> i </w:t>
      </w:r>
      <w:r>
        <w:t xml:space="preserve">se pondera en actividades en competencia con importaciones, como es el caso porcino, o mandioca. Es decir, </w:t>
      </w:r>
      <w:r>
        <w:rPr>
          <w:b/>
        </w:rPr>
        <w:t>M</w:t>
      </w:r>
      <w:r>
        <w:t xml:space="preserve"> refleja la combinación de oferta, demanda y valorización de la producción, ya sea que el destino sea mercado interno o exportación. Modificaciones en el tipo de cambio, o caídas en la demanda (local o internacional), se reflejan en este pilar.</w:t>
      </w:r>
    </w:p>
    <w:p w14:paraId="07079DC9" w14:textId="77777777" w:rsidR="00761551" w:rsidRDefault="00000000">
      <w:pPr>
        <w:pBdr>
          <w:top w:val="nil"/>
          <w:left w:val="nil"/>
          <w:bottom w:val="nil"/>
          <w:right w:val="nil"/>
          <w:between w:val="nil"/>
        </w:pBdr>
        <w:spacing w:after="0" w:line="240" w:lineRule="auto"/>
        <w:jc w:val="both"/>
        <w:rPr>
          <w:b/>
        </w:rPr>
      </w:pPr>
      <w:r>
        <w:rPr>
          <w:b/>
        </w:rPr>
        <w:t>Si S &lt;</w:t>
      </w:r>
      <w:proofErr w:type="gramStart"/>
      <w:r>
        <w:rPr>
          <w:b/>
        </w:rPr>
        <w:t>1  el</w:t>
      </w:r>
      <w:proofErr w:type="gramEnd"/>
      <w:r>
        <w:rPr>
          <w:b/>
        </w:rPr>
        <w:t xml:space="preserve"> color es rojo, S= 0 amarillo, S&gt;1 verde</w:t>
      </w:r>
    </w:p>
    <w:p w14:paraId="4A3CD26E" w14:textId="4FABFA51" w:rsidR="00761551" w:rsidRDefault="00000000">
      <w:pPr>
        <w:pBdr>
          <w:top w:val="nil"/>
          <w:left w:val="nil"/>
          <w:bottom w:val="nil"/>
          <w:right w:val="nil"/>
          <w:between w:val="nil"/>
        </w:pBdr>
        <w:spacing w:after="0" w:line="240" w:lineRule="auto"/>
        <w:jc w:val="both"/>
      </w:pPr>
      <w:r>
        <w:t xml:space="preserve">La tonalidad del color es por la cantidad de pilares menores a 1. Los tres pilares en </w:t>
      </w:r>
      <w:proofErr w:type="gramStart"/>
      <w:r>
        <w:t>rojo,</w:t>
      </w:r>
      <w:proofErr w:type="gramEnd"/>
      <w:r>
        <w:t xml:space="preserve"> aumentan el color del indicador. El detalle</w:t>
      </w:r>
      <w:r w:rsidR="00DE70AF">
        <w:t xml:space="preserve"> y la fuente</w:t>
      </w:r>
      <w:r>
        <w:t xml:space="preserve"> de cada una de las variables que componen el índice se pueden observar en www.coninagro.org.ar/semaforo</w:t>
      </w:r>
    </w:p>
    <w:sectPr w:rsidR="00761551">
      <w:headerReference w:type="default" r:id="rId13"/>
      <w:footerReference w:type="default" r:id="rId14"/>
      <w:pgSz w:w="11907" w:h="16840"/>
      <w:pgMar w:top="1440" w:right="1077" w:bottom="1440" w:left="107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427BE" w14:textId="77777777" w:rsidR="00B13FAB" w:rsidRDefault="00B13FAB">
      <w:pPr>
        <w:spacing w:after="0" w:line="240" w:lineRule="auto"/>
      </w:pPr>
      <w:r>
        <w:separator/>
      </w:r>
    </w:p>
  </w:endnote>
  <w:endnote w:type="continuationSeparator" w:id="0">
    <w:p w14:paraId="7CE93F17" w14:textId="77777777" w:rsidR="00B13FAB" w:rsidRDefault="00B1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3C6E984-50BF-4E86-A0D0-3521C62CA78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24D68E-851C-42F9-A744-1B9DA523234C}"/>
    <w:embedBold r:id="rId3" w:fontKey="{68845027-DA52-41EF-8033-CE6CEE7153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574E392-6BB2-488F-985F-2FBEE8F06A30}"/>
    <w:embedItalic r:id="rId5" w:fontKey="{085C5645-3D97-4D78-A3D2-43B48FCC8B6F}"/>
  </w:font>
  <w:font w:name="Cambria">
    <w:panose1 w:val="02040503050406030204"/>
    <w:charset w:val="00"/>
    <w:family w:val="roman"/>
    <w:pitch w:val="variable"/>
    <w:sig w:usb0="E00006FF" w:usb1="420024FF" w:usb2="02000000" w:usb3="00000000" w:csb0="0000019F" w:csb1="00000000"/>
    <w:embedRegular r:id="rId6" w:fontKey="{8BD7AA09-5E5B-4AAE-8013-DF9346F32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165B8" w14:textId="77777777" w:rsidR="00761551" w:rsidRDefault="00761551">
    <w:pPr>
      <w:widowControl w:val="0"/>
      <w:pBdr>
        <w:top w:val="nil"/>
        <w:left w:val="nil"/>
        <w:bottom w:val="nil"/>
        <w:right w:val="nil"/>
        <w:between w:val="nil"/>
      </w:pBdr>
      <w:spacing w:after="0" w:line="276" w:lineRule="auto"/>
      <w:rPr>
        <w:color w:val="000000"/>
      </w:rPr>
    </w:pPr>
  </w:p>
  <w:tbl>
    <w:tblPr>
      <w:tblStyle w:val="a1"/>
      <w:tblW w:w="10079" w:type="dxa"/>
      <w:jc w:val="right"/>
      <w:tblInd w:w="0" w:type="dxa"/>
      <w:tblLayout w:type="fixed"/>
      <w:tblLook w:val="0400" w:firstRow="0" w:lastRow="0" w:firstColumn="0" w:lastColumn="0" w:noHBand="0" w:noVBand="1"/>
    </w:tblPr>
    <w:tblGrid>
      <w:gridCol w:w="9266"/>
      <w:gridCol w:w="813"/>
    </w:tblGrid>
    <w:tr w:rsidR="00761551" w14:paraId="2123D403" w14:textId="77777777">
      <w:trPr>
        <w:jc w:val="right"/>
      </w:trPr>
      <w:tc>
        <w:tcPr>
          <w:tcW w:w="9266" w:type="dxa"/>
          <w:vAlign w:val="center"/>
        </w:tcPr>
        <w:p w14:paraId="38B837E9" w14:textId="77777777" w:rsidR="00761551" w:rsidRDefault="00000000">
          <w:pPr>
            <w:pBdr>
              <w:top w:val="nil"/>
              <w:left w:val="nil"/>
              <w:bottom w:val="nil"/>
              <w:right w:val="nil"/>
              <w:between w:val="nil"/>
            </w:pBdr>
            <w:tabs>
              <w:tab w:val="center" w:pos="4419"/>
              <w:tab w:val="right" w:pos="8838"/>
            </w:tabs>
            <w:spacing w:after="0" w:line="240" w:lineRule="auto"/>
            <w:jc w:val="right"/>
            <w:rPr>
              <w:smallCaps/>
              <w:color w:val="000000"/>
            </w:rPr>
          </w:pPr>
          <w:r>
            <w:rPr>
              <w:smallCaps/>
              <w:color w:val="000000"/>
            </w:rPr>
            <w:t>ÁREA DE ECONOMÍA DE CONINAGRO</w:t>
          </w:r>
        </w:p>
      </w:tc>
      <w:tc>
        <w:tcPr>
          <w:tcW w:w="813" w:type="dxa"/>
          <w:shd w:val="clear" w:color="auto" w:fill="8EBFB9"/>
          <w:vAlign w:val="center"/>
        </w:tcPr>
        <w:p w14:paraId="0E45A6FC" w14:textId="77777777" w:rsidR="00761551" w:rsidRDefault="00000000">
          <w:pPr>
            <w:pBdr>
              <w:top w:val="nil"/>
              <w:left w:val="nil"/>
              <w:bottom w:val="nil"/>
              <w:right w:val="nil"/>
              <w:between w:val="nil"/>
            </w:pBdr>
            <w:tabs>
              <w:tab w:val="center" w:pos="4419"/>
              <w:tab w:val="right" w:pos="8838"/>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3E5E9E">
            <w:rPr>
              <w:noProof/>
              <w:color w:val="FFFFFF"/>
            </w:rPr>
            <w:t>1</w:t>
          </w:r>
          <w:r>
            <w:rPr>
              <w:color w:val="FFFFFF"/>
            </w:rPr>
            <w:fldChar w:fldCharType="end"/>
          </w:r>
        </w:p>
      </w:tc>
    </w:tr>
  </w:tbl>
  <w:p w14:paraId="76892EFC" w14:textId="77777777" w:rsidR="00761551" w:rsidRDefault="0076155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904A8" w14:textId="77777777" w:rsidR="00B13FAB" w:rsidRDefault="00B13FAB">
      <w:pPr>
        <w:spacing w:after="0" w:line="240" w:lineRule="auto"/>
      </w:pPr>
      <w:r>
        <w:separator/>
      </w:r>
    </w:p>
  </w:footnote>
  <w:footnote w:type="continuationSeparator" w:id="0">
    <w:p w14:paraId="501E05E4" w14:textId="77777777" w:rsidR="00B13FAB" w:rsidRDefault="00B13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BAC55" w14:textId="77777777" w:rsidR="0076155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438B443" wp14:editId="3E6872BD">
          <wp:simplePos x="0" y="0"/>
          <wp:positionH relativeFrom="column">
            <wp:posOffset>4425950</wp:posOffset>
          </wp:positionH>
          <wp:positionV relativeFrom="paragraph">
            <wp:posOffset>-71752</wp:posOffset>
          </wp:positionV>
          <wp:extent cx="1708785" cy="563880"/>
          <wp:effectExtent l="0" t="0" r="0" b="0"/>
          <wp:wrapSquare wrapText="bothSides" distT="0" distB="0" distL="114300" distR="114300"/>
          <wp:docPr id="2054350964" name="image1.jpg" descr="Z:\NUEVO LOGO DE CONINAGRO 2016\LOGOS-ok-xseparado\logoOK-alternativo.jpg"/>
          <wp:cNvGraphicFramePr/>
          <a:graphic xmlns:a="http://schemas.openxmlformats.org/drawingml/2006/main">
            <a:graphicData uri="http://schemas.openxmlformats.org/drawingml/2006/picture">
              <pic:pic xmlns:pic="http://schemas.openxmlformats.org/drawingml/2006/picture">
                <pic:nvPicPr>
                  <pic:cNvPr id="0" name="image1.jpg" descr="Z:\NUEVO LOGO DE CONINAGRO 2016\LOGOS-ok-xseparado\logoOK-alternativo.jpg"/>
                  <pic:cNvPicPr preferRelativeResize="0"/>
                </pic:nvPicPr>
                <pic:blipFill>
                  <a:blip r:embed="rId1"/>
                  <a:srcRect/>
                  <a:stretch>
                    <a:fillRect/>
                  </a:stretch>
                </pic:blipFill>
                <pic:spPr>
                  <a:xfrm>
                    <a:off x="0" y="0"/>
                    <a:ext cx="1708785" cy="563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C60E8D"/>
    <w:multiLevelType w:val="multilevel"/>
    <w:tmpl w:val="CB203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4368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51"/>
    <w:rsid w:val="003345F9"/>
    <w:rsid w:val="003E5E9E"/>
    <w:rsid w:val="005541C1"/>
    <w:rsid w:val="00561777"/>
    <w:rsid w:val="00761551"/>
    <w:rsid w:val="00B13FAB"/>
    <w:rsid w:val="00B33E2D"/>
    <w:rsid w:val="00DE3012"/>
    <w:rsid w:val="00DE70AF"/>
    <w:rsid w:val="00FF7F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9136"/>
  <w15:docId w15:val="{3384E6B1-9522-4A76-A593-FAE0637E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005448"/>
      <w:sz w:val="32"/>
      <w:szCs w:val="32"/>
    </w:rPr>
  </w:style>
  <w:style w:type="paragraph" w:styleId="Ttulo2">
    <w:name w:val="heading 2"/>
    <w:basedOn w:val="Normal"/>
    <w:next w:val="Normal"/>
    <w:uiPriority w:val="9"/>
    <w:semiHidden/>
    <w:unhideWhenUsed/>
    <w:qFormat/>
    <w:pPr>
      <w:keepNext/>
      <w:keepLines/>
      <w:spacing w:before="40" w:after="0"/>
      <w:outlineLvl w:val="1"/>
    </w:pPr>
    <w:rPr>
      <w:color w:val="005448"/>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15" w:type="dxa"/>
        <w:left w:w="115" w:type="dxa"/>
        <w:bottom w:w="115" w:type="dxa"/>
        <w:right w:w="115" w:type="dxa"/>
      </w:tblCellMar>
    </w:tblPr>
  </w:style>
  <w:style w:type="paragraph" w:styleId="Textonotapie">
    <w:name w:val="footnote text"/>
    <w:basedOn w:val="Normal"/>
    <w:link w:val="TextonotapieCar"/>
    <w:uiPriority w:val="99"/>
    <w:semiHidden/>
    <w:unhideWhenUsed/>
    <w:rsid w:val="00C77B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7B72"/>
    <w:rPr>
      <w:sz w:val="20"/>
      <w:szCs w:val="20"/>
    </w:rPr>
  </w:style>
  <w:style w:type="character" w:styleId="Refdenotaalpie">
    <w:name w:val="footnote reference"/>
    <w:basedOn w:val="Fuentedeprrafopredeter"/>
    <w:uiPriority w:val="99"/>
    <w:semiHidden/>
    <w:unhideWhenUsed/>
    <w:rsid w:val="00C77B72"/>
    <w:rPr>
      <w:vertAlign w:val="superscript"/>
    </w:rPr>
  </w:style>
  <w:style w:type="paragraph" w:styleId="Prrafodelista">
    <w:name w:val="List Paragraph"/>
    <w:basedOn w:val="Normal"/>
    <w:uiPriority w:val="34"/>
    <w:qFormat/>
    <w:rsid w:val="00D724CA"/>
    <w:pPr>
      <w:ind w:left="720"/>
      <w:contextualSpacing/>
    </w:pPr>
  </w:style>
  <w:style w:type="table" w:customStyle="1" w:styleId="a0">
    <w:basedOn w:val="TableNormal1"/>
    <w:tblPr>
      <w:tblStyleRowBandSize w:val="1"/>
      <w:tblStyleColBandSize w:val="1"/>
      <w:tblCellMar>
        <w:top w:w="115" w:type="dxa"/>
        <w:left w:w="115" w:type="dxa"/>
        <w:bottom w:w="115" w:type="dxa"/>
        <w:right w:w="115" w:type="dxa"/>
      </w:tblCellMar>
    </w:tblPr>
  </w:style>
  <w:style w:type="table" w:customStyle="1" w:styleId="a1">
    <w:basedOn w:val="TableNormal1"/>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4aL14dmXoTQTap3/gxEuVISlVQ==">CgMxLjA4AHIhMU9aaU43c0VQM2otNFlFc0w0Rk5kdGk1V2RkbDVjQTJL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1517</Words>
  <Characters>8344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Campos Carles, Silvina /Coninagro</cp:lastModifiedBy>
  <cp:revision>3</cp:revision>
  <dcterms:created xsi:type="dcterms:W3CDTF">2024-04-30T20:38:00Z</dcterms:created>
  <dcterms:modified xsi:type="dcterms:W3CDTF">2024-04-30T20:47:00Z</dcterms:modified>
</cp:coreProperties>
</file>